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266/2011 vom 28. November 2011</w:t>
      </w:r>
    </w:p>
    <w:p>
      <w:r>
        <w:t>Bundesgericht, 2011-11-28, DE</w:t>
      </w:r>
    </w:p>
    <w:p>
      <w:r>
        <w:rPr>
          <w:b/>
        </w:rPr>
        <w:t xml:space="preserve">Quelle: </w:t>
      </w:r>
      <w:r>
        <w:t>https://mcp.opencaselaw.ch/entscheid/bger_2C_266_2011</w:t>
      </w:r>
    </w:p>
    <w:p>
      <w:r>
        <w:t>FR: TF 2C 266/2011 du 28 novembre 2011</w:t>
      </w:r>
    </w:p>
    <w:p>
      <w:r>
        <w:t>IT: TF 2C 266/2011 del 28 novembre 2011</w:t>
      </w:r>
    </w:p>
    <w:p>
      <w:pPr>
        <w:pStyle w:val="Heading2"/>
      </w:pPr>
      <w:r>
        <w:t>Regeste</w:t>
      </w:r>
    </w:p>
    <w:p>
      <w:r>
        <w:t>Staats- und Bundessteuer 2006 | Öffentliche Finanzen &amp; Abgaberecht</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Die Beschwerde in öffentlich-rechtlichen Angelegenheiten ist deshalb grundsätzlich zulässig ( Art. 82 ff. BGG ). Das Kantonale Steueramt ist gestützt auf Art. 89 Abs. 2 lit. d BGG i.V.m Art. 73 Abs. 2 des Bundesgesetzes vom 14. Dezember 1990 über die Harmonisierung der direkten Steuern der Kantone und Gemeinden (StHG; SR 642.14) und Art. 146 des Bundesgesetzes vom 14. Dezember 1990 über die direkte Bundessteuer (DBG; SR 642.11) zur Beschwerde berechtigt (vgl. Urteil 2C_365/2009 vom 24. März 2010 E. 2.1).</w:t>
      </w:r>
    </w:p>
    <w:p>
      <w:r>
        <w:rPr>
          <w:b/>
        </w:rPr>
        <w:t>E. 1.2</w:t>
      </w:r>
    </w:p>
    <w:p>
      <w:r>
        <w:t>Das angefochtene Urteil schliesst das Verfahren nicht ab (Art. 90 f. BGG): Am 22. Juni 2010 hat das Bundesgericht die Sache zur materiellen Beurteilung von Rekurs (betreffend die Staatssteuer) und Beschwerde (betreffend die direkte Bundessteuer) gegen den Einspracheentscheid vom 16. Dezember 2008 an das Steuergericht zurückgewiesen, damit dieses auf die bei ihm erhobenen Rechtsmittel eintrete und sie materiell beurteile (vgl. vorne lit. A). In der Folge hat das Steuergericht anders entschieden und erkannt, dass es die materielle Beurteilung nicht vornehme, sondern die Angelegenheit zu diesem Zweck an die Veranlagungsbehörde weiterweise (vgl. Ziff. 1 des Urteilsdispositivs). Mithin verneint das Steuergericht (entgegen den Feststellungen im bundesgerichtlichen Urteil vom 22. Juni 2010), dass es funktionell dafür zuständig sei, die bei ihm erhobenen Rechtsmittel an die Hand zu nehmen. Gegen seinen selbständig eröffneten Entscheid (vom 17. Januar 2011) über diese Frage ist die Beschwerde in öffentlich-rechtlichen Angelegenheiten daher - sofort - zulässig ( Art. 92 Abs. 1 BGG ; vgl. BERNARD CORBOZ, in: CORBOZ/WURZBURGER/FERRARI/FRÉSARD/ AUBRY GIRARDIN, Commentaire de la LTF, N 10/Art. 92 LTF). Auf die Beschwerde ist damit einzutreten.</w:t>
      </w:r>
    </w:p>
    <w:p>
      <w:r>
        <w:rPr>
          <w:b/>
        </w:rPr>
        <w:t>E. 2</w:t>
      </w:r>
    </w:p>
    <w:p>
      <w:r>
        <w:t>Das Steuergericht stellte im angefochtenen Urteil fest, "aufgrund der Festsetzung des Bundesgerichts" (sei) "die Angelegenheit materiell zu überprüfen". Diese Feststellung verband das Gericht mit der Aufforderung an die Veranlagungsbehörde, eine solche materielle Beurteilung vorzunehmen. Das Steuergericht übersieht damit offensichtlich, dass die Veranlagungsbehörde die vorzunehmende materielle Beurteilung bereits mit Einspracheentscheid vom 16. Dezember 2008 vorgenommen hat und dass es nun darum geht, aufgrund der bei der Vorinstanz eingereichten Rechtsmittel diese materielle Beurteilung überprüfen zu lassen. Bei dieser Sachlage besteht kein Raum für eine erneute Rückweisung an die kantonale Steuerverwaltung, ohne sich in irgendeiner Weise materiell zu äussern. Eine Rückweisung an die Veranlagungsbehörde kann dann erfolgen, wenn neue und umfassende Beweisverfahren durchzuführen sind, wenn Sachverhalte zur Diskussion stehen, die aufgrund der besonderen örtlichen Gegebenheiten zu entscheiden sind oder wenn die Veranlagungsbehörde zu Unrecht auf eine Einsprache nicht eingetreten ist (ULRICH CAVELTI, Kommentar zum schweizerischen Steuerrecht I/2b, Bundesgesetz über die direkte Bundessteuer [DBG], 2. Aufl. 2008, N 9 zu Art. 143 DBG ). Derartige Umstände sind vorliegend nicht ersichtlich, nachdem sich die Vorinstanz materiell im angefochtenen Urteil nicht äusserte und auch in ihrer Vernehmlassung bloss auf dieses - materiell unbegründete - Urteil verwies. Der Beschwerdeführer weist daher zu Recht darauf hin, dass die Vorinstanz mit ihrem Vorgehen die verfahrensrechtliche Ordnung, wie sie in Art. 140 ff. DBG , insbesondere Art. 142 und 143 DBG , sowie Art. 50 StHG vorgesehen ist, verletzt.</w:t>
      </w:r>
    </w:p>
    <w:p>
      <w:r>
        <w:rPr>
          <w:b/>
        </w:rPr>
        <w:t>E. 3.1</w:t>
      </w:r>
    </w:p>
    <w:p>
      <w:r>
        <w:t>Dies führt zur Gutheissung der Beschwerde. Das angefochtene Urteil ist daher aufzuheben und das Kantonale Steuergericht Solothurn ist anzuweisen, die Sache materiell zu entscheiden.</w:t>
      </w:r>
    </w:p>
    <w:p>
      <w:r>
        <w:rPr>
          <w:b/>
        </w:rPr>
        <w:t>E. 3.2</w:t>
      </w:r>
    </w:p>
    <w:p>
      <w:r>
        <w:t>Bei diesem Ergebnis gehen die Gerichtskosten zu Lasten des Kantons Solothurn, da die Beschwerde durch den vorinstanzlichen Entscheid veranlasst wurde ( Art. 65 und 66 Abs. 1 BGG ). Eine Parteientschädigung ist nicht geschuldet, da sich die Steuerpflichtige am vorliegenden Verfahren nicht aktiv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