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2C_265/2020 vom 3. August 2020</w:t>
      </w:r>
    </w:p>
    <w:p>
      <w:r>
        <w:t>Bundesgericht, 2020-08-03, DE</w:t>
      </w:r>
    </w:p>
    <w:p>
      <w:r>
        <w:rPr>
          <w:b/>
        </w:rPr>
        <w:t xml:space="preserve">Quelle: </w:t>
      </w:r>
      <w:r>
        <w:t>https://mcp.opencaselaw.ch/entscheid/bger_2C_265_2020</w:t>
      </w:r>
    </w:p>
    <w:p>
      <w:r>
        <w:t>FR: TF 2C_265/2020 du 3 août 2020</w:t>
      </w:r>
    </w:p>
    <w:p>
      <w:r>
        <w:t>IT: TF 2C_265/2020 del 3 agosto 2020</w:t>
      </w:r>
    </w:p>
    <w:p>
      <w:pPr>
        <w:pStyle w:val="Heading2"/>
      </w:pPr>
      <w:r>
        <w:t>Erwägungen</w:t>
      </w:r>
    </w:p>
    <w:p>
      <w:r>
        <w:rPr>
          <w:b/>
        </w:rPr>
        <w:t>E. 1.1</w:t>
      </w:r>
    </w:p>
    <w:p>
      <w:r>
        <w:t>Angefochten ist ein Entscheid des Bundesverwaltungsgerichts ( Art. 86 Abs. 1 lit. a BGG ) in einer öffentlich-rechtlichen Angelegenheit, die unter keinen der Ausschlussgründe nach Art. 83 ff. BGG fällt. Die Beschwerde in öffentlich-rechtlichen Angelegenheiten ist deshalb zulässig ( Art. 82 ff. BGG ), sofern der Kanton Zug hierzu legitimiert ist.</w:t>
      </w:r>
    </w:p>
    <w:p>
      <w:r>
        <w:rPr>
          <w:b/>
        </w:rPr>
        <w:t>E. 1.2</w:t>
      </w:r>
    </w:p>
    <w:p>
      <w:r>
        <w:t>Das Bundesgericht prüft seine Zuständigkeit und die Eintretensvoraussetzungen von Amtes wegen und mit freier Kognition ( Art. 29 Abs. 1 BGG ; BGE 140 I 90 E. 1 S. 92; BGE 135 III 1 E. 1.1 S. 3 mit Hinweisen).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gegebenenfalls inwiefern der Beschwerdeführer zur Beschwerde zuzulassen ist ( BGE 133 II 400 E. 2 S. 403 f. mit Hinweisen; Urteil 2C_382/2009 vom 5. Mai 2010 E. 1.2 nicht publ. in: BGE 136 II 383 ).</w:t>
      </w:r>
    </w:p>
    <w:p>
      <w:r>
        <w:rPr>
          <w:b/>
        </w:rPr>
        <w:t>E. 2</w:t>
      </w:r>
    </w:p>
    <w:p>
      <w:r>
        <w:t>Art. 89 BGG regelt die Beschwerdelegitimation. Absatz 1 umschreibt die allgemeine Beschwerdebefugnis. Absatz 2 enthält eine abschliessende Aufzählung besonderer Beschwerderechte.</w:t>
      </w:r>
    </w:p>
    <w:p>
      <w:r>
        <w:rPr>
          <w:b/>
        </w:rPr>
        <w:t>E. 2.1</w:t>
      </w:r>
    </w:p>
    <w:p>
      <w:r>
        <w:t>Ein besonderes Beschwerderecht nach Art. 89 Abs. 2 BGG besteht im vorliegenden Fall nicht. Es stellt sich somit die Frage, ob die Voraussetzungen der allgemeinen Beschwerdebefugnis nach Art. 89 Abs. 1 BGG gegeben sind, worauf sich auch der Beschwerdeführer selbst beruft.</w:t>
      </w:r>
    </w:p>
    <w:p>
      <w:r>
        <w:rPr>
          <w:b/>
        </w:rPr>
        <w:t>E. 2.2</w:t>
      </w:r>
    </w:p>
    <w:p>
      <w:r>
        <w:t>Nach dieser Bestimmung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S. 164 mit Hinweisen).</w:t>
      </w:r>
    </w:p>
    <w:p>
      <w:r>
        <w:rPr>
          <w:b/>
        </w:rPr>
        <w:t>E. 2.3</w:t>
      </w:r>
    </w:p>
    <w:p>
      <w:r>
        <w:t>Geht es um Entscheide mit finanziellen Auswirkungen, hat die Rechtsprechung in verschiedenen Konstellationen die Legitimation von Kanton oder Gemeinde bejaht. Doch ist die Legitimation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Bejaht wird die Legitimation im allgemeinen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Im Übrigen ist das Gemeinwesen in seinen fiskalischen Interessen aber grundsätzlich nicht wie ein Privater betroffen, sondern in seiner Eigenschaft als Hoheitsträger ( BGE 141 II 161 E. 2.3 S. 165 f. mit Hinweisen).</w:t>
      </w:r>
    </w:p>
    <w:p>
      <w:r>
        <w:rPr>
          <w:b/>
        </w:rPr>
        <w:t>E. 2.4</w:t>
      </w:r>
    </w:p>
    <w:p>
      <w:r>
        <w:t>Die Fälle, in denen diesbezüglich die Legitimation bejaht wurde, betreffen in der Regel Konstellationen, in welchen es um einen Konflikt zwischen verschiedenen Gemeinwesen geht, die einander nicht hoheitlich gegenüberstehen oder in denen ein Gemeinwesen Adressat einer von einem anderen Gemeinwesen getroffenen Verfügung ist, namentlich bei Streitigkeiten zwischen Kanton und Gemeinde oder zwischen Gemeinden unter sich (Hinweise in BGE 138 II 506 E. 2.1.2 S. 509 f.). Auch dann ist eine Gemeinde gegen einen kantonalen Entscheid, der ihr finanzielle Lasten auferlegt, nach Art. 89 Abs. 1 BGG nur zur Beschwerde legitimiert, wenn sie in qualifizierter Weise in der Wahrnehmung einer hoheitlichen Aufgabe betroffen ist ( BGE 140 I 90 E. 1.2 S. 93 ff.). Eine derartige qualifizierte Betroffenheit wird in der Regel bejaht in Bezug auf Leistungen der Sozialhilfe ( BGE 140 V 328 E. 6 S. 333 ff.) sowie den interkommunalen Finanzausgleich und ähnliche Regelungen ( BGE 140 I 90 E. 1.2.2 S. 93 f.) und im Übrigen dann, wenn die streitigen finanziellen Leistungen eine beträchtliche Höhe erreichen und die Beantwortung der Streitfrage eine über den Einzelfall hinaus gehende präjudizielle Wirkung für die öffentliche Aufgabenerfüllung mit insgesamt wesentlicher finanzieller Belastung hat, nicht aber dann, wenn es bloss um eine einzelfallbezogene Beurteilung ohne Grundsatzfragen geht. Verneint wird die Legitimation, wenn es einzig um die finanziellen Folgen der Verwaltungstätigkeit geht, welche das Gemeinwesen in seiner Stellung als hoheitlich verfügende Behörde treffen ( BGE 138 II 506 E. 2.3 S. 511 f.). In solchen Fällen deckt sich das finanzielle Interesse des Gemeinwesens mit der Frage der richtigen Rechtsanwendung, was zur Legitimation nicht genügt, auch dann nicht, wenn der angefochtene Entscheid Präzedenzwirkung für weitere Fälle mit Auswirkungen auf die Kantonsfinanzen hat ( BGE 141 II 161 E. 2.3 S. 166 mit Hinweisen).</w:t>
      </w:r>
    </w:p>
    <w:p>
      <w:r>
        <w:rPr>
          <w:b/>
        </w:rPr>
        <w:t>E. 2.5</w:t>
      </w:r>
    </w:p>
    <w:p>
      <w:r>
        <w:t>Die rechtlichen Grundlagen im Bereich der Arbeitskontrollen präsentiert sich folgendermassen:</w:t>
      </w:r>
    </w:p>
    <w:p>
      <w:r>
        <w:rPr>
          <w:b/>
        </w:rPr>
        <w:t>E. 2.5.1</w:t>
      </w:r>
    </w:p>
    <w:p>
      <w:r>
        <w:t>Die Durchführungsorgane des ArG (Bundesgesetz vom 13. März 1964 über die Arbeit in Industrie, Gewerbe und Handel [Arbeitsgesetz; SR 822.11]), d.h. grundsätzlich die kantonalen Behörden (vgl. Art. 41 ArG ), und die Suva vollziehen die Bestimmungen über die Verhütung von Berufsunfällen und Berufskrankheiten. Der Bundesrat regelt die Zuständigkeit und die Zusammenarbeit der Durchführungsorgane. Er berücksichtigt ihre sachlichen, fachlichen und personellen Möglichkeiten ( Art. 85 Abs. 1 UVG ). Der Bundesrat bestellt die Koordinationskommission (EKAS), welche die einzelnen Durchführungsbereiche aufeinander abstimmt. Sie sorgt für eine einheitliche Anwendung der Vorschriften über die Verhütung von Berufsunfällen und Berufskrankheiten in den Betrieben ( Art. 85 Abs. 2 und 3 UVG ). Die Beschlüsse der Koordinationskommission sind für die Versicherer und die Durchführungsorgane des Arbeitsgesetzes verbindlich ( Art. 85 Abs. 4 UVG ).</w:t>
      </w:r>
    </w:p>
    <w:p>
      <w:r>
        <w:rPr>
          <w:b/>
        </w:rPr>
        <w:t>E. 2.5.2</w:t>
      </w:r>
    </w:p>
    <w:p>
      <w:r>
        <w:t>Die kantonalen Durchführungsorgane des ArG beaufsichtigen die Anwendung der Vorschriften über die Arbeitssicherheit in den Betrieben sowie für Arbeitsmittel, sofern dafür nicht ein anderes Durchführungsorgan zuständig ist (Art. 47 der Verordnung vom 19. Dezember 1983 über die Verhütung von Unfällen und Berufskrankheiten [Verordnung über die Unfallverhütung, VUV; SR 832.30]). Um die Zuständigkeitsbereiche der Durchführungsorgane aufeinander abzustimmen, kann die Koordinationskommission insbesondere die Aufgaben der Durchführungsorgane näher abgrenzen ( Art. 52 lit. a VUV ). Die Koordinationskommission kann namentlich das Verfahren bestimmen, das die Durchführungsorgane bei den Kontrollen, den Anordnungen und der Vollstreckung beachten müssen ( Art. 53 lit. a VUV ). Die Koordinationskommission stellt die Vergütungsordnung der Durchführungsorgane auf und unterbreitet sie dem Departement zur Genehmigung ( Art. 54 VUV ). Die Durchführungsorgane unterbreiten der Koordinationskommission vierteljährlich eine Abrechnung mit Belegen über ihre Aufwendungen ( Art. 96 Abs. 1 VUV ).</w:t>
      </w:r>
    </w:p>
    <w:p>
      <w:r>
        <w:rPr>
          <w:b/>
        </w:rPr>
        <w:t>E. 2.5.3</w:t>
      </w:r>
    </w:p>
    <w:p>
      <w:r>
        <w:t>In Anbetracht dieser gesetzlichen Grundlagen nimmt der Kanton im Bereich der Arbeitskontrollen eine Vollzugsaufgabe (Kontrollen zur Verhütung von Berufsunfällen und Berufskrankheiten) bezüglich der bundesrechtlichen Bestimmungen im Bereich der Arbeitssicherheit wahr und erfüllt eine hoheitliche Aufgabe unter der Aufsicht der EKAS. Er handelt somit nicht gleich oder ähnlich wie ein Privater; seine Beschwerdebefugnis unterliegt den oben dargestellten Anforderungen (vgl. Urteil 2C_443/2015 vom 20. August 2015 E. 2.2.3).</w:t>
      </w:r>
    </w:p>
    <w:p>
      <w:r>
        <w:rPr>
          <w:b/>
        </w:rPr>
        <w:t>E. 2.6</w:t>
      </w:r>
    </w:p>
    <w:p>
      <w:r>
        <w:t>Der Beschwerdeführer begründet seine Legitimation pauschal damit, dass er aufgrund der drohenden wesentlich höheren finanziellen sowie personellen Mehrbelastung durch den angefochtenen Entscheid besonders berührt sei und es sich um eine zentrale Frage im Bereich der Kontrolltätigkeit nach Art. 85 UVG handle. Sein Anspruch auf rechtliches Gehör ( Art. 29 Abs. 2 BV ), der Grundsatz von Treu und Glauben ( Art. 5 Abs. 3 und Art. 9 BV ), das Rechtsgleichheitsgebot sowie sein Anspruch auf Gleichbehandlung ( Art. 8 Abs. 1 BV ) seien verletzt worden. Mit dieser Argumentation kommt der Beschwerdeführer seiner Begründungspflicht hinsichtlich seiner Legitimationsvoraussetzungen (E. 1.2; vgl. dazu auch Urteil 2C_760/2016 vom 26. September 2016 E. 2.4.1) nur in sehr beschränkter Weise nach, wobei diese vorliegend ohnehin nicht erfüllt sind.</w:t>
      </w:r>
    </w:p>
    <w:p>
      <w:r>
        <w:rPr>
          <w:b/>
        </w:rPr>
        <w:t>E. 2.6.1</w:t>
      </w:r>
    </w:p>
    <w:p>
      <w:r>
        <w:t>Die Vorinstanz stützt ihren Entscheid auf die Auslegung der obengenannten Bestimmungen zur Unfallverhütung. Der Beschwerdeführer bestreitet diese Auslegung und beanstandet im Wesentlichen die Anzahl der durchzuführenden Kontrollen, welche seiner Ansicht nach auf nicht sachgerechten Berechnungskriterien beruhten und das Differenzierungsgebot verletzen würden. Hätte die Vorinstanz eine angemessene Bemessungsgrundlage verwendet und dadurch seinen spezifischen Verhältnissen Rechnung getragen, so hätte er bloss 200 statt 240 Arbeitskontrollen durchführen müssen. Der Beschwerdeführer befürchtet dadurch eine wesentliche finanzielle (und personelle) Mehrbelastung, er legt diese aber in seinen Ausführungen nicht weiter dar und beziffert sie auch nicht. Es ist denn auch zweifelhaft, ob der Entscheid für den Beschwerdeführer überhaupt (direkte) finanzielle Auswirkungen hat. Die EKAS entschädigte ihn für die vorgenommenen Betriebsbesuche und ASA-Systemkontrollen im Jahr 2018 mit rund Fr. 175'000.-- und er bringt nicht vor, dass er damit seine Aufwendungen nicht hätte decken können. Im Gegenteil, im Jahr 2018 war der Beschwerdeführer offensichtlich in der Lage, mit der Abgeltung durch die EKAS 293 statt der geforderten 240 Kontrollen durchzuführen. Es ist davon auszugehen, dass die Abgeltung durch die EKAS mehr als ausreichend war, um die verfügten Kontrollen durchzuführen, und die Reduktion der Kontrollen würde den Beschwerdeführer finanziell kaum entlasten.</w:t>
      </w:r>
    </w:p>
    <w:p>
      <w:r>
        <w:rPr>
          <w:b/>
        </w:rPr>
        <w:t>E. 2.6.2</w:t>
      </w:r>
    </w:p>
    <w:p>
      <w:r>
        <w:t>Im Weiteren ist es nicht ersichtlich, inwiefern es hier um über das rein Finanzielle hinausgehende Interessen an der öffentlichen Aufgabenerfüllung gehen könnte. Das Urteil betrifft keine Grundsatzfrage im Bereich der Prävention von Arbeitsunfällen und es stehen keine bedeutsamen gesundheitspolizeiliche und -politische Interessen auf dem Spiel. Sowohl im konkreten Fall als auch in Bezug auf die Präzedenzwirkung des angefochtenen Urteils geht es primär um die Auswirkungen auf die Kantonsfinanzen (vgl. BGE 141 II 161 E. 2.4). Schliesslich sind die finanziellen Auswirkungen des angefochtenen Entscheides für den Beschwerdeführer auch nicht von existenzieller Tragweite (vgl. BGE 140 I 90 E. 1.2.6 S. 95; Urteil 2C_443/2015 vom 20. August 2015 E. 2.2.4).</w:t>
      </w:r>
    </w:p>
    <w:p>
      <w:r>
        <w:rPr>
          <w:b/>
        </w:rPr>
        <w:t>E. 2.6.3</w:t>
      </w:r>
    </w:p>
    <w:p>
      <w:r>
        <w:t>Insgesamt stellt der Beschwerdeführer die seines Erachtens richtige Rechtsanwendung im Einzelfall in den Vordergrund und wendet sich insbesondere gegen die Modalitäten der Umsetzung im Bereich der Arbeitssicherheit durch einen übergeordneten Aufgabenträger. In solchen Fällen ist die Schwelle zur Anerkennung der für die allgemeine Beschwerdebefugnis des nachgeordneten Gemeinwesens erforderlichen Betroffenheit hoch anzusetzen.</w:t>
      </w:r>
    </w:p>
    <w:p>
      <w:r>
        <w:rPr>
          <w:b/>
        </w:rPr>
        <w:t>E. 2.7</w:t>
      </w:r>
    </w:p>
    <w:p>
      <w:r>
        <w:t>Auf die Beschwerde kann aus diesen Gründen mangels Legitimation des Beschwerdeführers nicht eingetreten werden.</w:t>
      </w:r>
    </w:p>
    <w:p>
      <w:r>
        <w:rPr>
          <w:b/>
        </w:rPr>
        <w:t>E. 3.1</w:t>
      </w:r>
    </w:p>
    <w:p>
      <w:r>
        <w:t>Auch wenn der Beschwerdeführer beabsichtigte, seine Aufwendungen im Bereich der Arbeitsplatzkontrollen indirekt zu senken, ist der konkrete Streitgegenstand nicht eine finanzielle Leistung, sondern der Vollzug des UVG, welcher im fraglichen Bereich den Kantonen obliegt. Da er in seinem amtlichen Wirkungskreis handelte, sind dem Kanton Zug keine Gerichtskosten aufzuerlegen ( Art. 66 Abs. 4 BGG ).</w:t>
      </w:r>
    </w:p>
    <w:p>
      <w:r>
        <w:rPr>
          <w:b/>
        </w:rPr>
        <w:t>E. 3.2</w:t>
      </w:r>
    </w:p>
    <w:p>
      <w:r>
        <w:t>Der EKAS,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