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2C_264/2016 vom 23. Juni 2017</w:t>
      </w:r>
    </w:p>
    <w:p>
      <w:r>
        <w:t>Bundesgericht, 2017-06-23, FR</w:t>
      </w:r>
    </w:p>
    <w:p>
      <w:r>
        <w:rPr>
          <w:b/>
        </w:rPr>
        <w:t xml:space="preserve">Quelle: </w:t>
      </w:r>
      <w:r>
        <w:t>https://mcp.opencaselaw.ch/entscheid/bger_2C_264_2016</w:t>
      </w:r>
    </w:p>
    <w:p>
      <w:r>
        <w:t>FR: TF 2C_264/2016 du 23 juin 2017</w:t>
      </w:r>
    </w:p>
    <w:p>
      <w:r>
        <w:t>IT: TF 2C_264/2016 del 23 giugno 2017</w:t>
      </w:r>
    </w:p>
    <w:p>
      <w:pPr>
        <w:pStyle w:val="Heading2"/>
      </w:pPr>
      <w:r>
        <w:t>Erwägungen</w:t>
      </w:r>
    </w:p>
    <w:p>
      <w:r>
        <w:rPr>
          <w:b/>
        </w:rPr>
        <w:t>E. 1.1</w:t>
      </w:r>
    </w:p>
    <w:p>
      <w:r>
        <w:t>D'après l' art. 87 al. 1 LTF , le recours en matière de droit public est directement recevable contre les actes normatifs cantonaux qui ne peuvent faire l'objet d'un recours cantonal. En revanche, lorsque le droit cantonal prévoit un recours contre les actes normatifs, l' art. 86 LTF , qui dispose que le recours est recevable contre les décisions des autorités cantonales de dernière instance (al. 1 let. d), est applicable ( art. 87 al. 2 LTF ). L'arrêt attaqué a été rendu par la Cour constitutionnelle du Tribunal cantonal statuant en dernière instance cantonale. Par conséquent, le présent recours est en principe recevable pour violation du droit fédéral et de droits constitutionnels cantonaux (art. 95 let. a et c LTF) et le recours constitutionnel subsidiaire déposé par les recourants par conséquent irrecevable ( art. 113 LTF a contrario).</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Les recourants, qui ont participé à la procédure cantonale, ont un intérêt digne de protection à l'annulation de l'arrêt attaqué.</w:t>
      </w:r>
    </w:p>
    <w:p>
      <w:r>
        <w:rPr>
          <w:b/>
        </w:rPr>
        <w:t>E. 1.3</w:t>
      </w:r>
    </w:p>
    <w:p>
      <w:r>
        <w:t>Sauf dans les cas cités expressément par l'art. 95 de la loi du 17 juin 2005 sur le Tribunal fédéral (LTF; RS 173.110), le recours en matière de droit public ne peut pas être formé pour violation du droit cantonal en tant que tel. En revanche, il est toujours possible de faire valoir que la mauvaise application du droit cantonal constitue une violation du droit constitutionnel fédéral, en particulier qu'elle est arbitraire au sens de l' art. 9 Cst. ( ATF 135 III 513 consid. 4.3 p. 521s.) ou encore une violation du droit constitutionnel cantonal ( art. 95 let . c LTF). Il appartient toutefois au recourant d'invoquer ce grief et de le motiver d'une manière suffisante (cf. art. 106 al. 2 LTF , ATF 136 I 65 consid. 1.3.1 p. 68). L'acte de recours doit donc, sous peine d'irrecevabilité, contenir un exposé succinct des droits constitutionnels ou des principes juridiques violés et préciser en quoi consiste la violation ( ATF 135 III 232 consid. 1.2 p. 234).</w:t>
      </w:r>
    </w:p>
    <w:p>
      <w:r>
        <w:rPr>
          <w:b/>
        </w:rPr>
        <w:t>E. 2</w:t>
      </w:r>
    </w:p>
    <w:p>
      <w:r>
        <w:t>Invoquant les art. 8 al. 2 et 4, 19 et 62 Cst., 10 al. 2 Cst./VD et 14 CEDH, qui prohibent les discriminations du fait notamment d'une déficience corporelle, mentale ou psychique, les recourants soutiennent que l'art. 4 al. 3 LPS les empêche d'avoir accès aux mêmes prestations pour leur enfant que tous les autres enfants handicapés vaudois.</w:t>
      </w:r>
    </w:p>
    <w:p>
      <w:r>
        <w:rPr>
          <w:b/>
        </w:rPr>
        <w:t>E. 2.1</w:t>
      </w:r>
    </w:p>
    <w:p>
      <w:r>
        <w:t>Selon l' art. 8 al. 2 Cst. (qui ne diffère guère quant à son contenu de l' art. 10 al. 2 Cst. -VD), nul ne doit subir de discrimination du fait notamment d'une déficience corporelle, mentale ou psychique. Cette règle interdit toute mesure étatique défavorable à une personne et motivée par le handicap de cette personne, si cette mesure ne répond pas à une justification objective. L' art. 8 al. 2 Cst. ne confère en revanche aucun droit individuel, susceptible d'être invoqué en justice, d'obtenir que l'égalité entre personnes valides et personnes handicapées soit réalisée en fait. Certes, d'après l' art. 8 al. 4 Cst. , la loi prévoit des mesures en vue d'éliminer les inégalités qui frappent les personnes handicapées. Toutefois, l'élimination des inégalités factuelles est l'objet d'un mandat constitutionnel spécifique, dont la mise en oeuvre incombe au législateur ( ATF 141 I 9 consid. 3.1 et les références citées; voir aussi ATF 139 I 169 consid. 7.3.2; ATF 139 II 289 consid. 2.2.1; ATF 138 I 305 consid. 3.3; ATF 135 I 49 consid. 4.1; ATF 135 I 161 consid. 2.3 et ATF 134 I 105 consid. 5).</w:t>
      </w:r>
    </w:p>
    <w:p>
      <w:r>
        <w:rPr>
          <w:b/>
        </w:rPr>
        <w:t>E. 2.2</w:t>
      </w:r>
    </w:p>
    <w:p>
      <w:r>
        <w:t>L'instruction publique ressortit aux cantons ( art. 62 al. 1 Cst. ). Ceux-ci doivent garantir un enseignement de base suffisant et gratuit ( art. 19 et 62 al. 2 Cst. ). L'enseignement doit être approprié et adapté à chacun, et doit suffire à préparer les écoliers à une vie responsable dans le monde moderne. En ce sens, les personnes handicapées ont droit à un enseignement spécialisé adéquat. D'après l' art. 62 al. 3 Cst. , les cantons pourvoient à une formation spéciale suffisante pour les enfants et adolescents handicapés, au plus tard jusqu'à leur vingtième anniversaire. Selon l'art. 20 de la loi fédérale du 13 décembre 2002 sur l'élimination des inégalités frappant les personnes handicapées (loi sur l'égalité pour les handicapés, LHand, RS 151.3), les cantons veillent à ce que les enfants et adolescents handicapés bénéficient d'un enseignement de base adapté à leurs besoins spécifiques. Ils encouragent l'intégration des enfants et adolescents handicapés dans l'enseignement ordinaire par des formes de scolarisation adéquates, pour autant que cela soit possible et serve le bien de l'enfant ou de l'adolescent handicapé ( art. 20 al. 2 LHand ). Cette disposition concrétise les principes constitutionnels (art. 8 al. 2, 19 et 62 al. 3 Cst.), mais elle ne va guère au-delà (sur toutes ces questions, ATF 141 I 9 consid. 3.2 et les références citées; voir également ATF 140 I 153 consid. 2.3.4; ATF 138 I 162 c. 3; ATF 133 I 156 consid. 3.1; ATF 129 I 35 consid. 7.3; arrêts 2C_405/2016 du 9 janvier 2017, consid. 4.2; 2C_154/2017 du 23 mai 2017 consid. 5.1). Dans les limites de ces principes fondamentaux, les cantons jouissent d'une liberté de décision importante ( art. 46 al. 3 Cst. ).</w:t>
      </w:r>
    </w:p>
    <w:p>
      <w:r>
        <w:t>En résumé, comme l'a déjà jugé le Tribunal fédéral, le droit constitutionnel garantit uniquement une offre de formation suffisante et appropriée, selon l'expérience, et, il faut le souligner ici, dans des écoles publiques.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 ATF 141 I 9 consid. 3.3 p. 13; cf. aussi 138 I 162 consid. 3.2 et 3.3 p. 165 s.; 133 I 156 consid. 3.1 p. 158 s.; 130 I 352 consid. 3.2 p. 354 et 129 I 12 c. 6.4 p. 20). La jurisprudence a toutefois précisé qu'au sein de l'école publique, l'intégration des enfants handicapés dans les classes ordinaires devait en principe avoir la préférence par rapport à un enseignement spécialisé séparé ( ATF 138 I 162 consid. 4.2, confirmé in arrêts 2C_405/2016 du 9 janvier 2017, in ZBl 2017 287, consid. 4.1 et 2C_154/2017 du 23 mai 2017 consid. 5.1).</w:t>
      </w:r>
    </w:p>
    <w:p>
      <w:r>
        <w:rPr>
          <w:b/>
        </w:rPr>
        <w:t>E. 2.3</w:t>
      </w:r>
    </w:p>
    <w:p>
      <w:r>
        <w:t>Les recourants sont d'avis que la discrimination dont ils disent être victimes repose sur la distinction entre école publique et école privée dont ils estiment qu'elle n'est pas pertinente. Selon eux, le fait qu'un enseignant spécialisé, au titre de mesures mises en place autour de l'enfant, doive se rendre dans une école privée ne représente pas un coût supplémentaire pour la collectivité par rapport au cas où ce même enseignant doit se rendre dans un établissement public.</w:t>
      </w:r>
    </w:p>
    <w:p>
      <w:r>
        <w:rPr>
          <w:b/>
        </w:rPr>
        <w:t>E. 2.4</w:t>
      </w:r>
    </w:p>
    <w:p>
      <w:r>
        <w:t>Ce grief doit être rejeté. En effet, les recourants perdent de vue le cadre constitutionnel et légal général s'agissant, d'une part, de la qualité et du type d'enseignement de base et, d'autre part, de son financement au moyen de deniers publics ou privés.</w:t>
      </w:r>
    </w:p>
    <w:p>
      <w:r>
        <w:t>En vertu de l' art. 20 al. 2 LHand , les cantons encouragent l'intégration des enfants et adolescents handicapés dans l'école régulière par des formes de scolarisation adéquates pour autant que cela soit possible et serve le bien de l'enfant ou de l'adolescent handicapé. Il résulte de cette disposition, conforme du reste aux dispositions constitutionnelles rappelées ci-dessus (cf. consid. 2.2 ci-dessus), que le législateur fédéral a voulu supprimer, dans la mesure du possible, les voies parallèles que constituaient à l'époque l'enseignement ordinaire et l'enseignement spécialisé pour les fondre en une seule voie au sein de l'école dite "régulière", incluant les deux types d'enseignements. Pareille fusion n'empêche en elle-même pas que ces deux types d'enseignement, ordinaire et spécialisé, soient dispensés, et du reste, ils le sont effectivement, au sein d'une école publique ou d'une école privée. Il suffit que la qualité de l'enseignement dispensé soit conforme aux exigences constitutionnelles et légales. En d'autres termes, il suffit que tous les enfants et adolescents, handicapés ou non, bénéficient d'un enseignement de base suffisant ( art. 19 et 62 al. 2 et 3 Cst. ), adapté à leurs besoins spécifiques ( art. 20 al. 1 LHand ). Sous le seul angle de la qualité de l'enseignement, il n'y a par conséquent pas de discrimination entre enfants et adolescents, handicapés ou non, fréquentant un établissement public ou privé. Telle que voulue par la Constitution et la loi, chacune des voies équivaut à l'autre.</w:t>
      </w:r>
    </w:p>
    <w:p>
      <w:r>
        <w:t>En revanche, comme le rappelle la jurisprudence, la prise en considération des capacités financières limitées de la collectivité publique justifie, comme le prévoit d'ailleurs l' art. 62 al. 2 Cst. , que les cantons ne sont tenus de pourvoir à la gratuité de l'enseignement de base suffisant ouvert à tous les enfants, handicapés ou non, que dans les écoles publiques. Par conséquent, il n'importe pas de savoir si le choix du constituant est fondé ou non, en d'autres termes, si des mesures d'enseignement spécialisé coûtent, ou non, plus cher à la collectivité dans un établissement public ou dans un établissement privé. Il suffit de constater que la Constitution fédérale n'exige pas des cantons qu'ils accordent la gratuité dans les écoles privées et que ce choix constitutionnel ne viole pas l'interdiction de la discrimination de l' art. 8 al. 2 Cst. , à qualité d'enseignement égale (cf. arrêt 2C_405/2016 du 9 janvier 2017 consid. 4.6).</w:t>
      </w:r>
    </w:p>
    <w:p>
      <w:r>
        <w:t>A cet égard d'ailleurs, les recourants ne soutiennent ni ne démontrent que leur enfant handicapé ne bénéficierait pas d'un enseignement de base suffisant et adapté à ses besoins dans l'école publique au même titre que les autres enfants handicapés. Il n'est dès lors pas nécessaire de se demander s'il aurait droit, cas échéant et sous certaines conditions, de fréquenter un établissement privé de manière gratuite, comme semble le soutenir la doctrine (M. SCHEFER/C. HESS-KLEIN, Droit de l'égalité des personnes handicapées, Berne 2013, p. 73) que les recourants citent à l'appui de leurs conclusions.</w:t>
      </w:r>
    </w:p>
    <w:p>
      <w:r>
        <w:rPr>
          <w:b/>
        </w:rPr>
        <w:t>E. 2.5</w:t>
      </w:r>
    </w:p>
    <w:p>
      <w:r>
        <w:t>En refusant d'annuler l' art. 4 al. 3 LSP , l'instance précédente n'a pas violé les art. 8 al. 2 et 4, 19 et 62 Cst., 10 al. 2 Cst./VD et 14 CEDH.</w:t>
      </w:r>
    </w:p>
    <w:p>
      <w:r>
        <w:rPr>
          <w:b/>
        </w:rPr>
        <w:t>E. 3</w:t>
      </w:r>
    </w:p>
    <w:p>
      <w:r>
        <w:t>Invoquant les art. 15 Cst. , 16 Cst./VD et 9 CEDH, les recourants se plaignent enfin de ce que l' art. 4 al. 3 LSP viole leur liberté de conscience et de croyance.</w:t>
      </w:r>
    </w:p>
    <w:p>
      <w:r>
        <w:rPr>
          <w:b/>
        </w:rPr>
        <w:t>E. 3.1</w:t>
      </w:r>
    </w:p>
    <w:p>
      <w:r>
        <w:t>Aux termes de l' art. 15 al. 1 Cst. , la liberté de conscience et de croyance est garantie. La liberté religieuse est également garantie par l' art. 9 par. 1 CEDH , selon lequel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Selon la jurisprudence ( ATF 142 I 195 consid. 5.1 p. 206 s.), la portée de cette disposition est ici pratique-ment identique à celle de l' art. 15 Cst. L'art. 18 du Pacte international du 16 décembre 1966 relatif aux droits civils et politiques (Pacte ONU II; RS 0.103.2) comporte un principe similaire. Les recourants n'exposent pas en quoi, cas échéant, l' art 16 Cst./VD , leur conféreraient une garantie plus étendue que celle de l' art. 15 Cst. comme l'exige l' art. 106 al. 2 LTF , de sorte que la conformité de l' art. 4 al. 3 LSP à la Constitution cantonale ne sera pas examinée.</w:t>
      </w:r>
    </w:p>
    <w:p>
      <w:r>
        <w:t>Il découle de la garantie générale de la liberté religieuse consacrée tant par les articles 15 al. 1 et 2 Cst. et 9 CEDH que l'école publique doit être confessionnellement neutre, de façon à laisser à chaque individu le soin de trancher librement les questions relatives à la religion (A. AUER/G. MALINVERNI/M. HOTTELIER, Droit constitutionnel suisse, vol. II, les droits fondamentaux, 3e éd., Berne 2013, p. 214, ch. 437). En cela, la garantie de la liberté de conscience et de croyance revêt une forme purement négative en ce sens qu'elle se limite à imposer à l'Etat un devoir d'abstention (A. AUER/G. MALINVERNI/M. HOTTELIER, op. cit., p. 69, ch. 149).</w:t>
      </w:r>
    </w:p>
    <w:p>
      <w:r>
        <w:rPr>
          <w:b/>
        </w:rPr>
        <w:t>E. 3.2</w:t>
      </w:r>
    </w:p>
    <w:p>
      <w:r>
        <w:t>En l'espèce, les recourants se plaignent de ce que l' art. 4 al. 3 LSP aura pour effet que les enfants handicapés du canton de Vaud n'auront plus la possibilité d'être scolarisés en école privée faute de moyens et en raison des coûts des prestations de l'enseignement spécialisé jusqu'ici pris en charge par l'Etat. Ce grief perd de vue que la liberté religieuse a pour fonction dans ce contexte à protéger l'individu des ingérences de la collectivité publique dans sa liberté de conscience et de croyance ( ATF 134 I 114 consid. 6.2 p. 120 s.). Concrètement, elle n'a pas pour fonction d'imposer à un canton l'obligation positive de financer un enseignement suffisant au sens de l' art. 62 al. 3 Cst. au sein d'écoles privées, possiblement confessionnelles, comme en l'espèce.</w:t>
      </w:r>
    </w:p>
    <w:p>
      <w:r>
        <w:rPr>
          <w:b/>
        </w:rPr>
        <w:t>E. 3.3</w:t>
      </w:r>
    </w:p>
    <w:p>
      <w:r>
        <w:t>Tout en rappelant qu'ils ne réclament pas que l'enseignement spécialisé soit orienté religieusement, les recourants considèrent néanmoins qu'il est incompréhensible que les prestations de l'enseignement spécialisé, laïc, ne continuent pas d'être dispensées dans les écoles privées, dont les écoles catholiques par exemple. A cet égard, il suffit de rappeler ce qui a été dit à propos de la discrimination alléguée par les recourants (cf. consid. 2.4 ci-dessus) et des ressources financières limitées des collectivités publiques et de constater que la Constitution fédérale (art. 62 al. 2) n'exige pas des cantons qu'ils accordent la gratuité dans les écoles privées. Ce choix constitutionnel ne viole pas la liberté religieuse, mais tend à la respecter puisque seules les écoles publiques doivent être confessionnellement neutres (cf. consid. 3.1 ci-dessus).</w:t>
      </w:r>
    </w:p>
    <w:p>
      <w:r>
        <w:rPr>
          <w:b/>
        </w:rPr>
        <w:t>E. 3.4</w:t>
      </w:r>
    </w:p>
    <w:p>
      <w:r>
        <w:t>En refusant d'annuler l' art. 4 al. 3 LSP , l'instance précédente n'a pas violé les art. 15 Cst. , 16 Cst./VD et 9 CEDH.</w:t>
      </w:r>
    </w:p>
    <w:p>
      <w:r>
        <w:rPr>
          <w:b/>
        </w:rPr>
        <w:t>E. 4</w:t>
      </w:r>
    </w:p>
    <w:p>
      <w:r>
        <w:t>Les considérants qui précèdent conduisent au rejet du recours.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