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2C_264/2007 vom 7. Januar 2008</w:t>
      </w:r>
    </w:p>
    <w:p>
      <w:r>
        <w:t>Bundesgericht, 2008-01-07, FR</w:t>
      </w:r>
    </w:p>
    <w:p>
      <w:r>
        <w:rPr>
          <w:b/>
        </w:rPr>
        <w:t xml:space="preserve">Quelle: </w:t>
      </w:r>
      <w:r>
        <w:t>https://mcp.opencaselaw.ch/entscheid/bger_2C_264_2007</w:t>
      </w:r>
    </w:p>
    <w:p>
      <w:r>
        <w:t>FR: TF 2C_264/2007 du 7 janvier 2008</w:t>
      </w:r>
    </w:p>
    <w:p>
      <w:r>
        <w:t>IT: TF 2C_264/2007 del 7 gennaio 2008</w:t>
      </w:r>
    </w:p>
    <w:p>
      <w:pPr>
        <w:pStyle w:val="Heading2"/>
      </w:pPr>
      <w:r>
        <w:t>Erwägungen</w:t>
      </w:r>
    </w:p>
    <w:p>
      <w:r>
        <w:rPr>
          <w:b/>
        </w:rPr>
        <w:t>E. 1</w:t>
      </w:r>
    </w:p>
    <w:p>
      <w:r>
        <w:t>La recourante n'a pas indiqué par quelle voie de recours elle procède auprès du Tribunal fédéral. Toutefois, cette imprécision ne saurait lui nuire si son recours remplit les exigences légales de la voie de droit qui lui est ouverte (sur le choix erroné d'une voie de recours, cf. ATF 126 II 506 consid. 1b p. 509 et les arrêts cités). Il convient en l'espèce d'examiner si l'acte de recours remplit les conditions de recevabilité du recours en matière de droit public.</w:t>
      </w:r>
    </w:p>
    <w:p>
      <w:r>
        <w:t>Déposé en temps utile contre une décision rendue dans une cause de droit public par une autorité cantonale de dernière instance, sans qu'aucune des exceptions prévues à l' art. 83 LTF ne soit réalisée, le présent recours, interjeté par la société qui a pris part à la procédure devant l'autorité précédente, est en principe recevable comme recours en matière de droit public en vertu des art. 82 ss LTF et de la règle particulière de l'art. 54 de la loi fédérale du 9 octobre 1992 sur les denrées alimentaires et les objets usuels (LDAl; RS 817.0), renvoyant aux dispositions générales de la procédure fédérale.</w:t>
      </w:r>
    </w:p>
    <w:p>
      <w:r>
        <w:rPr>
          <w:b/>
        </w:rPr>
        <w:t>E. 2</w:t>
      </w:r>
    </w:p>
    <w:p>
      <w:r>
        <w:t>Le Tribunal fédéral statue sur la base des faits établis par l'autorité précédente ( art. 105 al. 1 LTF ), sauf s'ils ont été établis de façon manifestement inexacte ou en violation du droit au sens de l' art. 95 LTF ( art. 105 al. 2 LTF ). Aucun fait nouveau ni aucune preuve nouvelle ne peut être présenté, à moins de résulter de la décision de l'autorité précédente ( art. 99 al. 1 LTF ), ce qui n'est pas le cas en l'espèce. Partant, les pièces nouvelles produites par la recourante pour la première fois devant le Tribunal fédéral ne peuvent pas être prises en considération. De surcroît, les deux pièces annexées au courrier du 5 juin 2007 ont été déposées après l'échéance du délai de recours (art. 47 al. 1 et 100 al. 1 LTF).</w:t>
      </w:r>
    </w:p>
    <w:p>
      <w:r>
        <w:rPr>
          <w:b/>
        </w:rPr>
        <w:t>E. 3</w:t>
      </w:r>
    </w:p>
    <w:p>
      <w:r>
        <w:t>En vertu de l'art. art. 42 al. 1 LTF , le mémoire de recours doit contenir les conclusions et les motifs à l'appui de celles-ci. Les motifs doivent exposer succinctement en quoi l'acte attaqué viole le droit ( art. 42 al. 2 LTF ; sur l'obligation de motiver, cf. Message du 28 février 2001 concernant la révision totale de l'organisation judiciaire fédérale, FF 2001 p. 4093). Pour satisfaire à cette obligation,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de droit non écrits qui auraient été violés; il suffit qu'à la lecture de son exposé, on comprenne clairement quelles règles de droit auraient été, selon lui, transgressées par l'autorité cantonale (cf. ATF 121 III 397 consid. 2a p. 400; 116 II 745 consid. 3 p. 748 s. et les arrêts cités).</w:t>
      </w:r>
    </w:p>
    <w:p>
      <w:r>
        <w:t>En l'espèce, la recourante ne remet pas en cause le fait que la propolis n'est pas un ingrédient admis comme denrée alimentaire ni n'explique pourquoi celle-ci aurait dû être considérée comme un additif de type arôme autorisé dans les denrées alimentaires. En fait, elle se borne à manifester son étonnement face à la position défendue par le chimiste cantonal et avalisée par le Tribunal administratif, sans toutefois discuter les motifs de l'arrêt entrepris. Elle ne fait même pas valoir que les autorités précédentes auraient mal appliqué la législation topique. Sur ces points, le recours ne satisfait pas aux exigences de motivation des art. 42 al. 2 et 106 al. 2 LTF et il est douteux qu'il soit recevable. Toutefois, si l'on tient compte que la recourante n'a pas fait appel à un mandataire professionnellement qualifié, la question de la recevabilité du recours peut rester indécise, celui-ci devant de toute façon être rejeté pour les motifs qui suivent.</w:t>
      </w:r>
    </w:p>
    <w:p>
      <w:r>
        <w:rPr>
          <w:b/>
        </w:rPr>
        <w:t>E. 4</w:t>
      </w:r>
    </w:p>
    <w:p>
      <w:r>
        <w:t>Il n'est pas contesté que les pastilles litigieuses ne sont pas des médicaments et qu'elles doivent être examinées sous l'angle de la législation relative aux denrées alimentaires (cf. art. 3 al. 2 LDAI ), dont l'autorité intimée a correctement rappelé les principes aux chiffres 2 et 3 de son arrêt. En tant qu'ingrédient, la propolis peut être considérée soit comme une denrée alimentaire, soit comme un additif (cf. art. 3 al. 4 LDAI ). Or, elle n'est pas une denrée alimentaire admise par l'ordonnance fédérale du 1er mars 1995 sur les denrées alimentaires, en vigueur au moment de la décision du chimiste cantonal du 3 novembre 2005 (RO 1995 1491), pas plus que par l'ordonnance fédérale du 23 novembre 2005 sur les denrées alimentaires et les objets usuels (ODAlOUs; RS 817.02) qui a remplacé l'ordonnance du 1er mars 1995 (cf. annexe 2 chiffre I point 1 ODAIOUs). En outre, l'indication inscrite sur l'emballage des pastilles ne répond pas aux exigences légales prévues pour un arôme et la propolis ne peut, de ce fait, être considérée comme un additif de type arôme. D'ailleurs, même si l'indication était correcte, il apparaît que la propolis n'est pas autorisée comme additif par l'ordonnance du Département fédéral de l'intérieur du 27 mars 2002 sur les additifs autorisés dans les denrées alimentaires (RO 2002 1201), à défaut de figurer dans ses annexes (ni du reste par l'ordonnance fédérale du DFI du 22 juin 2007 du même nom [OAdd; RS 817.022.31], actuellement en vigueur). Partant, c'est à bon droit que le Tribunal administratif a confirmé la décision du chimiste cantonal d'interdire la distribution des pastilles litigieuses et l'arrêt attaqué n'apparaît pas critiquable au regard de la législation fédérale.</w:t>
      </w:r>
    </w:p>
    <w:p>
      <w:r>
        <w:rPr>
          <w:b/>
        </w:rPr>
        <w:t>E. 5</w:t>
      </w:r>
    </w:p>
    <w:p>
      <w:r>
        <w:t>En outre, la recourante se plaint pour la première fois devant l'autorité de céans d'inégalité de traitement. Elle affirme que des "pastilles propolis" sont distribuées sans restriction en Suisse et que seul son produit est "critiqué". Elle n'allègue cependant aucun fait concret permettant d'établir que les pastilles distribuées par d'autres producteurs sont effectivement autorisées et commercialisées en Suisse et qu'il pourrait y avoir une inégalité de traitement. Au surplus, elle se fonde sur des faits nouveaux qui ne peuvent être reçus (cf. art. 99 al. 1 LTF et consid. 2 ci-dessus).</w:t>
      </w:r>
    </w:p>
    <w:p>
      <w:r>
        <w:rPr>
          <w:b/>
        </w:rPr>
        <w:t>E. 6</w:t>
      </w:r>
    </w:p>
    <w:p>
      <w:r>
        <w:t>Au vu de ce qui précède, le recours doit être rejeté dans la mesure où il est recevable. Succombant, la recourante doit supporter les frais judiciaires ( art. 65 et 66 al. 1 LTF ) et n'a pas droit à des dépens ( art. 68 al. 1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