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2C_260/2009 vom 22. September 2009</w:t>
      </w:r>
    </w:p>
    <w:p>
      <w:r>
        <w:t>Bundesgericht, 2009-09-22, DE</w:t>
      </w:r>
    </w:p>
    <w:p>
      <w:r>
        <w:rPr>
          <w:b/>
        </w:rPr>
        <w:t xml:space="preserve">Quelle: </w:t>
      </w:r>
      <w:r>
        <w:t>https://mcp.opencaselaw.ch/entscheid/bger_2C_260_2009</w:t>
      </w:r>
    </w:p>
    <w:p>
      <w:r>
        <w:t>FR: TF 2C_260/2009 du 22 septembre 2009</w:t>
      </w:r>
    </w:p>
    <w:p>
      <w:r>
        <w:t>IT: TF 2C_260/2009 del 22 settembre 2009</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 Auf das frist- und formgerecht eingereichte Rechtsmittel ist grundsätzlich einzutreten (vgl. aber nachfolgend E. 1.3).</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der Beschwerdeführer der Vorinstanz in pauschaler Weise willkürliches Verhalten vorwirft. Soweit eine solche qualifizierte Begründung fehlt, kann auf die Beschwerde nicht eingetreten werden.</w:t>
      </w:r>
    </w:p>
    <w:p>
      <w:r>
        <w:rPr>
          <w:b/>
        </w:rPr>
        <w:t>E. 2</w:t>
      </w:r>
    </w:p>
    <w:p>
      <w:r>
        <w:t>Das vorliegende Beschwerdeverfahren betrifft die Kantons- und Gemeindesteuern der Steuerperiode 2001. Massgebend für die Beurteilung ist somit das Steuergesetz [des Kantons Aargau] vom 15. Dezember 1998 (StG/AG; SAR 651.100), welches am 1. Januar 2001 in Kraft getreten ist (vgl. § 263 Abs. 1 StG /AG).</w:t>
      </w:r>
    </w:p>
    <w:p>
      <w:r>
        <w:rPr>
          <w:b/>
        </w:rPr>
        <w:t>E. 3</w:t>
      </w:r>
    </w:p>
    <w:p>
      <w:r>
        <w:t>Nach Art. 46 Abs. 1 des Bundesgesetzes vom 14. Dezember 1990 über die Harmonisierung der direkten Steuern der Kantone und Gemeinden (StHG; SR 642.14) resp. § 190 Abs. 1 StG /AG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 Art. 46 Abs. 3 StHG resp. § 191 Abs. 3 StG /AG).</w:t>
      </w:r>
    </w:p>
    <w:p>
      <w:r>
        <w:rPr>
          <w:b/>
        </w:rPr>
        <w:t>E. 3.1</w:t>
      </w:r>
    </w:p>
    <w:p>
      <w:r>
        <w:t>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(Urteile 2A.53/2003 vom 13. August 2003 E. 4.1, in: RDAF II p. 581; A.74/1987 vom 30. Oktober 1987 E. 3b, in: ASA 58 S. 670 mit Hinweisen).</w:t>
      </w:r>
    </w:p>
    <w:p>
      <w:r>
        <w:rPr>
          <w:b/>
        </w:rPr>
        <w:t>E. 3.2</w:t>
      </w:r>
    </w:p>
    <w:p>
      <w:r>
        <w:t>Der Steuerpflichtige kann eine Ermessensveranlagung nur wegen offensichtlicher Unrichtigkeit anfechten. Die Einsprache ist zu begründen und muss allfällige Beweismittel nennen ( Art. 48 Abs. 2 StHG resp. § 193 Abs. 3 StG /AG).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A.74/1987 vom 30. Oktober 1987 E. 1b, in: ASA 58 S. 670 mit Hinweisen).</w:t>
      </w:r>
    </w:p>
    <w:p>
      <w:r>
        <w:rPr>
          <w:b/>
        </w:rPr>
        <w:t>E. 3.3</w:t>
      </w:r>
    </w:p>
    <w:p>
      <w:r>
        <w:t>Dieser Unrichtigkeitsnachweis ist nach der bundesgerichtlichen Rechtsprechung umfassend zu führen und kann nicht nur einzelne Positionen der Ermessensveranlagung betreffen. Der Steuerpflichtige muss die bisher versäumten Mitwirkungshandlungen nachholen und insbesondere eine nicht eingereichte Steuererklärung nachträglich vorlegen (vgl. für die direkte Bundessteuer: Urteil 2A.39/2004 vom 29. März 2005 E. 5.1, in: ASA 75 S. 329).</w:t>
      </w:r>
    </w:p>
    <w:p>
      <w:r>
        <w:rPr>
          <w:b/>
        </w:rPr>
        <w:t>E. 4.1</w:t>
      </w:r>
    </w:p>
    <w:p>
      <w:r>
        <w:t>Der Beschwerdeführer macht geltend, die Steuerbehörden hätten das pflichtgemässe Ermessen verletzt und von ihm angerufene Beweismittel abgesprochen. Weiter rügt er "die menschenunwürdige Behandlung durch die Vorinstanzen und vor allem die Missachtung seines desolaten Gesundheitszustandes". Der Beschwerdeführer führt aus, die Steuerbehörden seien beweispflichtig, wenn sie eine Veranlagung zuungunsten des Pflichtigen vornehmen würden. Der in der Steuererklärung eingereichte Vermögensvergleich weise auf ein Einkommen von wenigen tausend Franken hin; damit sei die Annahme eines Einkommens aus hauptberuflicher landwirtschaftlicher Tätigkeit von Fr. 70'000.-- "erwiesenermassen" falsch.</w:t>
      </w:r>
    </w:p>
    <w:p>
      <w:r>
        <w:rPr>
          <w:b/>
        </w:rPr>
        <w:t>E. 4.2</w:t>
      </w:r>
    </w:p>
    <w:p>
      <w:r>
        <w:t>Aus der Beschwerdebegründung lässt sich nur schwer entnehmen, inwiefern der angefochtene Entscheid Bundesrecht verletzen soll. Abgesehen von den pauschalen Willkürvorwürfen (vgl. dazu E. 1.3 in fine) wird sinngemäss eine unrichtige Sachverhaltsfeststellung gerügt. Der Beschwerdeführer scheint jedoch zu verkennen, dass die Feststellung des Sachverhalts nur gerügt werden kann, wenn sie offensichtlich unrichtig ist oder auf einer Rechtsverletzung im Sinne von Artikel 95 beruht; solches wird vom Beschwerdeführer jedoch nicht genügend substantiiert dargelegt. Der Beschwerdeführer begnügt sich mit der allgemeinen Aussage, die Vorinstanzen hätten das pflichtgemässe Ermessen verletzt. Vorliegend steht jedoch eine Ermessensveranlagung in Frage und der Steuerpflichtige müsste die Unrichtigkeit der Veranlagung nachweisen (vgl. E. 3.2 und 3.3). Diesen Unrichtigkeitsnachweis vermag der Beschwerdeführer nicht einmal ansatzweise zu führen. Der Beschwerdeführer geht somit auch fehl, wenn er ausführen lässt, die Steuerbehörden seien beweispflichtig, wenn sie eine Veranlagung "zuungunsten des Pflichtigen" vornehmen würden.</w:t>
      </w:r>
    </w:p>
    <w:p>
      <w:r>
        <w:rPr>
          <w:b/>
        </w:rPr>
        <w:t>E. 4.3</w:t>
      </w:r>
    </w:p>
    <w:p>
      <w:r>
        <w:t>Unklar bleibt auch, inwiefern die Steuerbehörden den "desolaten Gesundheitszustand" des Beschwerdeführers missachtet haben sollen. Hierzu wird bloss geltend gemacht, die Arztzeugnisse hätten bewiesen, dass der Beschwerdeführer zur Führung einer ordnungsgemässen Buchhaltung nicht in der Lage war. Daraus kann der Beschwerdeführer aber nichts zu seinen Gunsten ableiten.</w:t>
      </w:r>
    </w:p>
    <w:p>
      <w:r>
        <w:rPr>
          <w:b/>
        </w:rPr>
        <w:t>E. 4.4</w:t>
      </w:r>
    </w:p>
    <w:p>
      <w:r>
        <w:t>Der Beschwerdeführer bringt vor, der in der Steuererklärung eingereichte Vermögensvergleich weise auf ein Einkommen von wenigen tausend Franken hin. Zudem beantragt er die Einholung einer neutralen Expertise über seine Einkommenssituation. Wie das Bundesgericht schon im Beschwerdeverfahren bezüglich der Staats- und Gemeindesteuern 1993/1994 des Beschwerdeführers (Urteil 2P.131/2003 vom 3. Oktober 2003 E. 3.2) feststellte, durften die kantonalen Instanzen unter den vorliegenden Umständen annehmen, dass die tatsächlichen Verhältnisse nachträglich nicht mehr rekonstruiert werden könnten. Weiter durften sie im Rahmen einer antizipierten Beweiswürdigung ohne Verletzung der Untersuchungspflicht und damit ohne Verletzung des rechtlichen Gehörs darauf verzichten, die vom Beschwerdeführer geforderte Expertise durchführen zu lassen.</w:t>
      </w:r>
    </w:p>
    <w:p>
      <w:r>
        <w:t>Damit ist auch der Antrag auf Einholung einer Expertise über die Einkommenssituation des Beschwerdeführers im bundesgerichtlichen Verfahren abzuweisen (vgl. E. 1.2 hiervor).</w:t>
      </w:r>
    </w:p>
    <w:p>
      <w:r>
        <w:rPr>
          <w:b/>
        </w:rPr>
        <w:t>E. 5</w:t>
      </w:r>
    </w:p>
    <w:p>
      <w:r>
        <w:t>Die Beschwerde in öffentlich-rechtlichen Angelegenheiten erweist sich daher als unbegründet und ist abzuweisen, soweit darauf eingetreten werden kann.</w:t>
      </w:r>
    </w:p>
    <w:p>
      <w:r>
        <w:rPr>
          <w:b/>
        </w:rPr>
        <w:t>E. 6</w:t>
      </w:r>
    </w:p>
    <w:p>
      <w:r>
        <w:t>Entsprechend diesem Verfahrensausgang sind die Kosten des bundesgerichtlichen Verfahrens dem Beschwerdeführer aufzuerlegen (Art. 65 f. BGG).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