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260/2007 vom 26. November 2007</w:t>
      </w:r>
    </w:p>
    <w:p>
      <w:r>
        <w:t>Bundesgericht, 2007-11-26, FR</w:t>
      </w:r>
    </w:p>
    <w:p>
      <w:r>
        <w:rPr>
          <w:b/>
        </w:rPr>
        <w:t xml:space="preserve">Quelle: </w:t>
      </w:r>
      <w:r>
        <w:t>https://mcp.opencaselaw.ch/entscheid/bger_2C_260_2007</w:t>
      </w:r>
    </w:p>
    <w:p>
      <w:r>
        <w:t>FR: TF 2C 260/2007 du 26 novembre 2007</w:t>
      </w:r>
    </w:p>
    <w:p>
      <w:r>
        <w:t>IT: TF 2C 260/2007 del 26 novembre 2007</w:t>
      </w:r>
    </w:p>
    <w:p>
      <w:pPr>
        <w:pStyle w:val="Heading2"/>
      </w:pPr>
      <w:r>
        <w:t>Regeste</w:t>
      </w:r>
    </w:p>
    <w:p>
      <w:r>
        <w:t>sanction administrative | Droit fondamental</w:t>
      </w:r>
    </w:p>
    <w:p>
      <w:pPr>
        <w:pStyle w:val="Heading2"/>
      </w:pPr>
      <w:r>
        <w:t>Erwägungen</w:t>
      </w:r>
    </w:p>
    <w:p>
      <w:r>
        <w:rPr>
          <w:b/>
        </w:rPr>
        <w:t>E. 1.1</w:t>
      </w:r>
    </w:p>
    <w:p>
      <w:r>
        <w:t>Le Tribunal fédéral examine d'office et librement la recevabilité des recours qui lui sont soumis ( art. 29 al. 1 LTF ; ATF 133 II 249 consid. 1.1 p. 251; 133 II 439 consid. 2 p. 441).</w:t>
      </w:r>
    </w:p>
    <w:p>
      <w:r>
        <w:rPr>
          <w:b/>
        </w:rPr>
        <w:t>E. 1.2</w:t>
      </w:r>
    </w:p>
    <w:p>
      <w:r>
        <w:t>En vertu de l' art. 89 al. 1 LTF , a qualité pour former un recours en matière de droit public quiconque a pris part à la procédure devant l'autorité précédente ou a été privé de la possibilité de le faire (lettre a), est particulièrement atteint par la décision attaquée (lettre b) et a un intérêt digne de protection à son annulation ou à sa modification (lettre c). Cette disposition reprend en particulier les exigences qui prévalaient sous l'empire de l' art. 103 lettre a OJ pour le recours de droit administratif (cf. Message du Conseil fédéral concernant la révision totale de l'organisation judiciaire fédérale du 28 février 2001, FF 2001 p. 4126). Selon la jurisprudence applicable au recours de droit administratif, dont il n'y a pas lieu de s'écarter ( ATF 133 II 249 consid. 1.3.1 p. 253),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général ou dans l'intérêt d'un tiers est exclu. Cette exigence a été posée de manière à empêcher l'action populaire au niveau de la juridiction administrative fédérale (cf. ATF 131 II 649 consid. 3.1 p. 651 et les arrêts cités). Dans son arrêt 2C_315/2007 du 19 octobre 2007, destiné à la publication, le Tribunal fédéral a constaté que le législateur avait voulu rendre encore plus stricte la condition de l'intérêt personnel au recours en matière de droit public, en précisant à l' art. 89 al. 1 lettre b LTF que le recourant doit être "particulièrement atteint" par l'acte attaqué (arrêt précité, consid. 1). Dans une procédure non contentieuse, la seule qualité de plaignant ou de dénonciateur ne donne pas le droit de recourir contre la décision prise; le plaignant ou le dénonciateur doit encore pouvoir invoquer un intérêt digne de protection à ce que l'autorité de surveillance intervienne ( ATF 120 Ib 351 consid. 3a p. 355). La jurisprudence a ainsi dénié la qualité pour recourir au plaignant dans le cadre d'une procédure disciplinaire dirigée contre un avocat, dès lors que cette procédure a pour but d'assurer l'exercice correct de la profession par les avocats et de préserver la confiance du public à leur égard et non de défendre les intérêts privés des particuliers ( ATF 132 II 250 consid. 4.4 p. 255; 108 Ia 230 consid. 2b p. 232). Cette jurisprudence a été reprise, sous l'angle de l' art. 89 al. 1 LTF , dans le cadre d'une procédure disciplinaire dirigée contre un notaire (arrêt précité du 19 octobre 2007, destiné à la publication).</w:t>
      </w:r>
    </w:p>
    <w:p>
      <w:r>
        <w:rPr>
          <w:b/>
        </w:rPr>
        <w:t>E. 1.3</w:t>
      </w:r>
    </w:p>
    <w:p>
      <w:r>
        <w:t>En l'espèce, la plainte de la recourante à l'égard de l'intimé a été reçue par l'autorité cantonale en vertu de l'art. 10 al. 1 de la loi du 6 décembre 1987 concernant les rapports entre membres des professions de la santé et le patient, abrogée par la loi sur la santé du 7 avril 2007, entrée en vigueur le 1er septembre 2006 (K 1 03). Selon cette disposition, le patient qui s'estime victime d'une violation de ses droits peut adresser une plainte à l'autorité de surveillance. Puis, "au terme de l'instruction et suivant les conclusions de la commission compétente, le chef du département ordonne la clôture du dossier si aucune violation des droits du plaignant n'a été établie; en cas contraire, il émet une injonction impérative au praticien concerné sous menace des peines prévues à l'art. 292 du code pénal" (art. 10 al. 3). L'art. 10. al. 4 prévoyait que le plaignant et la personne visée avaient qualité pour recourir auprès du Tribunal administratif contre la décision du chef du département, mais cela ne confère pas encore automatiquement la qualité pour recourir auprès du Tribunal fédéral. Le nouveau droit est plus explicite, puisque la loi sur la Commission de surveillance des professions de la santé et des droits des patients du 7 avril 2006 (K 3 03), également entrée en vigueur le 1er septembre 2006, donne d'abord au patient la qualité de partie (art. 9). La procédure devant la Commission de surveillance peut certes aboutir à une mesure disciplinaire (avertissement, blâme et/ou amende jusqu'à 50'000 fr.; art. 20 al. 2), mais aussi à une décision, l'art. 20 al. 1 prévoyant qu'en "cas de violation des droits des patients, la Commission de surveillance peut émettre une injonction impérative au praticien concerné sous menace des peines prévues à l'article 292 du code pénal ou une décision constatatoire". Si le plaignant ne peut pas recourir contre les sanctions administratives prononcées par la Commision de surveillance, il a toutefois qualité pour déférer au Tribunal administratif les autres décisions (art. 22 de la loi ). Il y a donc un véritable droit du patient et, sous cet angle, la situation est donc différente de celle du plaignant dans la cadre de la procédure disciplinaire contre un avocat ou un notaire examinée dans la jurisprudence précitée. La qualité pour recourir au Tribunal fédéral contre une décision constatant qu'il n'existe pas une violation des droits des patients pourrait donc être reconnue au regard des règles particulières des art. 20 al. 1 et 22 al. 1 de la loi sur la Commission de surveillance des professions de la santé et des droits du patients du 7 avril 2006. L'ancien droit, encore applicable en l'espèce, ne paraît toutefois pas aller aussi loin, mais la question de la qualité de la recourante pour recourir peut en l'espèce rester ouverte, dans la mesure où le recours doit de toute façon être déclaré irrecevable pour un autre motif.</w:t>
      </w:r>
    </w:p>
    <w:p>
      <w:r>
        <w:rPr>
          <w:b/>
        </w:rPr>
        <w:t>E. 2.1</w:t>
      </w:r>
    </w:p>
    <w:p>
      <w:r>
        <w:t>Le Tribunal fédéral statue sur la base des faits établis par l'autorité précédente ( art. 105 al. 1 LTF ). Il ne peut s'en écarter que si les faits ont été établis de façon manifestement inexacte ou en violation du droit au sens de l' art. 95 LTF ( art. 105 al. 2 LTF ). Le recourant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p.140). Dans le cas particulier, la recourante se borne à opposer sa version des faits à celle du Tribunal administratif, qui a retenu qu'elle avait été suffisamment renseignée sur la technique de Longo consistant en un agraphage circulaire. Elle prétend qu'elle n'aurait jamais donné son accord à l'opération si elle avait entendu parler de la technique de l'agraphage et que l'intimé n'a pas apporté la preuve qu'il lui en avait parlé. Son argumentation ne permet toutefois pas au Tribunal fédéral de rectifier ou de compléter les constatations de fait établies par l'autorité précédente selon l' art. 105 al. 2 LTF , car elle revient, en fait, à soutenir que la juridiction cantonale aurait appliqué arbitrairement les dispositions relatives à l'information et au consentement éclairé du patient contenues dans la loi concernant les rapports entre membres des professions de la santé et patients du 6 décembre 1987.</w:t>
      </w:r>
    </w:p>
    <w:p>
      <w:r>
        <w:rPr>
          <w:b/>
        </w:rPr>
        <w:t>E. 2.2</w:t>
      </w:r>
    </w:p>
    <w:p>
      <w:r>
        <w:t>Aux termes de l' art. 106 al. 2 LTF , le Tribunal fédéral n'examine la violation de droits fondamentaux ainsi que celle de dispositions de droit cantonal que si ce grief a été invoqué et motivé par le recourant. Cette disposition reprend le principe du grief (Rügeprinzip) que la pratique relative au recours de droit public avait établi en relation avec l' art. 90 OJ ( ATF 133 II 249 consid. 1.4.2 p. 254; 133 III 393 consid. 6 p. 397).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261/262, 26 consid. 2.1 p. 31 et les références). Selon l' art. 106 al. 2 LTF , il en va de même lorsque le recourant dénonce une application arbitraire du droit cantonal. En l'espèce, le recours ne satisfait manifestement pas à ces exigences. L'instruction devant les experts de la FMH et le Tribunal administratif a en effet établi que la recourante avait été suffisamment informée sur la technique nouvelle opératoire de Longo et qu'elle avait fait confiance à son médecin, sans demander d'informations complémentaires. Pour le reste, la recourante n'a jamais expliqué pourquoi la pose d'agraphes de très petite taille, qui ne suscitent aucun risque supplémentaire, aurait été de nature à modifier son consentement: Elle ne dit rien non plus sur ce point dans le présent recours et ne motive pas davantage son grief de violation de l' art. 10 al. 2 Cst. (protection constitutionnelle de l'intégrité corporelle) qui n'a, au demeurant, pas de portée propre dans ce contexte.</w:t>
      </w:r>
    </w:p>
    <w:p>
      <w:r>
        <w:rPr>
          <w:b/>
        </w:rPr>
        <w:t>E. 2.3</w:t>
      </w:r>
    </w:p>
    <w:p>
      <w:r>
        <w:t>Il s'ensuit que le recours ne satisfait pas aux exigences de motivation posées par la loi et la jurisprudence et doit donc être déclaré irrecevable.</w:t>
      </w:r>
    </w:p>
    <w:p>
      <w:r>
        <w:rPr>
          <w:b/>
        </w:rPr>
        <w:t>E. 3</w:t>
      </w:r>
    </w:p>
    <w:p>
      <w:r>
        <w:t>Au vu de l'issue du recours, il y a lieu de mettre les frais judiciaires à la charge de la recourante ( art. 66 al. 1 LTF ) et d'allouer à l'intimé Y.________ une indemnité à titre de dépens ( art. 68 al. 1 et 2 LTF ). En revanche, aucune indemnité ne sera allouée au Département qui a agi dans le cadre de ses fonctions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