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259/2013 vom 29. Juli 2013</w:t>
      </w:r>
    </w:p>
    <w:p>
      <w:r>
        <w:t>Bundesgericht, 2013-07-29, DE</w:t>
      </w:r>
    </w:p>
    <w:p>
      <w:r>
        <w:rPr>
          <w:b/>
        </w:rPr>
        <w:t xml:space="preserve">Quelle: </w:t>
      </w:r>
      <w:r>
        <w:t>https://mcp.opencaselaw.ch/entscheid/bger_2C_259_2013</w:t>
      </w:r>
    </w:p>
    <w:p>
      <w:r>
        <w:t>FR: TF 2C 259/2013 du 29 juillet 2013</w:t>
      </w:r>
    </w:p>
    <w:p>
      <w:r>
        <w:t>IT: TF 2C 259/2013 del 29 luglio 2013</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Urteil 2C_926/2011 vom 12. Oktober 2012 E. 1, nicht publ. in: BGE 139 I 31 ). Da auch die übrigen Sachurteilsvoraussetzungen vorliegen, ist auf die Beschwerde grundsätzlich einzutreten.</w:t>
      </w:r>
    </w:p>
    <w:p>
      <w:r>
        <w:rPr>
          <w:b/>
        </w:rPr>
        <w:t>E. 1.2</w:t>
      </w:r>
    </w:p>
    <w:p>
      <w:r>
        <w:t>Die Niederlassungsbewilligung wird unbefristet und ohne Bedingungen erteilt (Art. 34 Abs. 1 AuG [SR 142.20]). Wird das den Widerruf der Niederlassungsbewilligung bestätigende Urteil aufgehoben, gilt die Bewilligung weiter. Sie muss dafür weder wiedererteilt noch verlängert werden (Urteil 2C_958/2011 vom 18. Februar 2013 E. 1.1 mit Hinweisen). Der auf Verlängerung der Niederlassungsbewilligung lautende Antrag ist insofern überflüssig und es ist darauf nicht einzutreten.</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(vgl.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136 II 101 E. 3 S. 104 f.).</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S. 299 ff. ; 139 I 31 E. 2.1 S. 32).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 139 I 31 E. 2.1 S. 33). Die genannten Widerrufsgründe gelten auch, falls der Ausländer sich - wie im vorliegenden Fall - seit mehr als 15 Jahren ununterbrochen und ordnungsgemäss im Land aufgehalten hat (Art. 63 Abs. 2 AuG).</w:t>
      </w:r>
    </w:p>
    <w:p>
      <w:r>
        <w:rPr>
          <w:b/>
        </w:rPr>
        <w:t>E. 2.2</w:t>
      </w:r>
    </w:p>
    <w:p>
      <w:r>
        <w:t>Mit der Verurteilung zu einer Freiheitsstrafe von 18 Monaten ist der Widerrufsgrund von Art. 62 lit. b (i.V.m. Art. 63 Abs. 1 lit. a AuG) auch ohne Berücksichtigung der Zusatzstrafe von neun Monaten ohne Weiteres gegeben, was der Beschwerdeführer nicht bestreitet. Die Vorinstanz hat zudem angenommen, dass ein schwerwiegender Verstoss gegen die öffentliche Sicherheit und Ordnung vorliegt; der Beschwerdeführer wendet sich auch in diesem Punkt nicht gegen das kantonale Urteil.</w:t>
      </w:r>
    </w:p>
    <w:p>
      <w:r>
        <w:rPr>
          <w:b/>
        </w:rPr>
        <w:t>E. 2.3</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das Urteil des EGMR 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mit zahlreichen Hinweisen auf die Praxis).</w:t>
      </w:r>
    </w:p>
    <w:p>
      <w:r>
        <w:rPr>
          <w:b/>
        </w:rPr>
        <w:t>E. 3</w:t>
      </w:r>
    </w:p>
    <w:p>
      <w:r>
        <w:t>Der Beschwerdeführer macht im Wesentlichen geltend, der Widerruf der Niederlassungsbewilligung erweise sich als unverhältnismässig. Er rügt dabei bloss die Verletzung von Bundesrecht (Art. 96 AuG), erhebt aber keinerlei Verfassungsrügen (z.B. Art. 8 EMRK oder Art. 13 BV ).</w:t>
      </w:r>
    </w:p>
    <w:p>
      <w:r>
        <w:rPr>
          <w:b/>
        </w:rPr>
        <w:t>E. 3.1</w:t>
      </w:r>
    </w:p>
    <w:p>
      <w:r>
        <w:t>Der angefochtene Entscheid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Freiheitsstrafe von 18 Monaten (bzw. mit Zusatzurteil von neun Monaten) verurteilt worden. Das Obergericht des Kantons Bern hat im ersten Urteil vom 30. März 2010 das Verschulden des Beschwerdeführers als schwer beurteilt. Dieser hat im Rahmen der beurteilten versuchten schweren Körperverletzung (begangen am 18. August 2007) ein brutales und skrupelloses Vorgehen sowie eine hohe Gewaltbereitschaft offenbart. Gemäss dem Obergericht ist es nur dem Zufall zu verdanken, dass das Opfer keine schwereren Verletzungen davongetragen hat. Zudem hatte der Beschwerdeführer bereits zuvor im September 2004 im Alter von 17 Jahren mehre Einbruchdiebstähle begangen und war dafür zu einer bedingt vollziehbaren Geldstrafe verurteilt worden. Sodann verübte der Beschwerdeführer zwischen August 2008 und Januar 2009 - und damit noch während der laufenden Probezeit - acht bandenmässig begangene Einbruchdiebstähle, was zur erwähnten Zusatzstrafe von neun Monaten führte. Das Obergericht führte dazu im Zusatzurteil vom 10. Januar 2011 aus, der Beschwerdeführer habe ein beachtliches Potential an krimineller Energie an den Tag gelegt. Das Hauptziel sei die Bereicherung gewesen, um sich trotz Arbeitslosigkeit den Ausgang finanzieren zu können. Noch während des Vollzugs dieser Strafe (mittels Electronic Monitoring) beging er am 15. April 2011 eine schwere Verkehrsregelverletzung. Die Vorinstanz hat darum insgesamt das Verschulden des Beschwerdeführers aus fremdenpolizeirechtlicher Sicht zutreffend als gravierend erachtet. Da weder das Ansetzen von Probezeiten noch laufende Verfahren den Beschwerdeführer von weiterer Delinquenz abhalten konnten, besteht in Übereinstimmung mit der Vorinstanz ein grosses öffentliches Interesse an der Fernhaltung des Beschwerdeführers (vgl. angefochtener Entscheid E. 4.2.1).</w:t>
      </w:r>
    </w:p>
    <w:p>
      <w:r>
        <w:rPr>
          <w:b/>
        </w:rPr>
        <w:t>E. 3.2</w:t>
      </w:r>
    </w:p>
    <w:p>
      <w:r>
        <w:t>Im Übrigen stellen Gewalt- bzw. Einbruchsdelikte zwei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3.3</w:t>
      </w:r>
    </w:p>
    <w:p>
      <w:r>
        <w:t>An der Fernhaltung des Beschwerdeführers besteht somit ein grosses sicherheitspolizeiliches Interesse, das nur durch entsprechend gewichtige private Interessen aufgewogen werden könnte, d.h. wenn aussergewöhnlich schwerwiegende Umstände gegen eine Wegweisung sprechen würden. Die Vorinstanz hat umfassend geprüft, inwieweit der Beschwerdeführer solche besonderen Gründe für einen weiteren Verbleib in der Schweiz geltend machen kann (vgl. angefochtener Entscheid E. 4.2.2, 4.2.3, 4.3 und 4.4). In Würdigung aller wesentlichen Kriterien (wie Anwesenheitsdauer in der Schweiz, familiäre Situation bzw. Beziehungsverhältnisse, Arbeitssituation, Resozialisierungschancen, Integration, finanzielle Lage, Sprachkenntnisse, persönliches Umfeld) hat sie erkannt, es sei ihm auf Grund seiner langen Anwesenheit zwar ein erhöhtes Interesse am Verbleib in der Schweiz zuzubilligen; insgesamt überwiege jedoch das öffentliche Interesse an seiner Entfernung. Diese verletze weder nationales Recht noch Art. 8 EMRK .</w:t>
      </w:r>
    </w:p>
    <w:p>
      <w:r>
        <w:rPr>
          <w:b/>
        </w:rPr>
        <w:t>E. 3.4</w:t>
      </w:r>
    </w:p>
    <w:p>
      <w:r>
        <w:t>Was der Beschwerdeführer dagegen vorbringt, ändert an dieser Beurteilung nichts. Angesichts der Schwere der begangenen Straftat vermag dem Beschwerdeführer weder der Umstand zu helfen, dass er in der Schweiz aufgewachsen ist noch dass er hier sein gesamtes soziales Netz aufgebaut hat. Er zeigt nicht auf, inwiefern ihm persönlich eine Rückkehr in seine Heimat oder seine Integration dort nicht zumutbar wäre. Nach den Feststellungen der Vorinstanz spricht er Albanisch, kennt den Kosovo von Ferienaufenthalten und sind ihm Kultur und Gepflogenheiten der Heimat durch die Familie vermittelt worden. Dass für ihn die Situation im Kosovo in ökonomischer Hinsicht allenfalls weniger günstig wäre als in der Schweiz, ist nicht entscheidend. Der Beschwerdeführer kritisiert weiter, die Vorinstanz habe nur die Jahre 2004 bis 2011 für die Beurteilung herangezogen; hingegen habe sie nicht berücksichtigt, dass der Beschwerdeführer "die ersten 16 Jahre seines Lebens, welche im Leben jedes Menschen prägend sind, in der Schweiz und ohne jegliche fremdenpolizeilichen sowie strafrechtlichen Beanstandungen verbracht hat". Aus dem Umstand, dass der Beschwerdeführer nicht schon als Kind delinquiert hat, kann er jedoch kaum etwas zu seinen Gunsten ableiten. Vielmehr hat die Vorinstanz zutreffend festgestellt, dass dieser bereits mit knapp 17 Jahren erstmals mehrere Einbruchdiebstähle beging und sich in der Folge weder durch die Probezeit noch durch sein familiäres Umfeld von weiteren Delikten abhalten liess.</w:t>
      </w:r>
    </w:p>
    <w:p>
      <w:r>
        <w:rPr>
          <w:b/>
        </w:rPr>
        <w:t>E. 3.5</w:t>
      </w:r>
    </w:p>
    <w:p>
      <w:r>
        <w:t>Der Beschwerdeführer führt sodann aus, seit August 2007 habe er keine Delikte gegen die körperliche Integrität mehr begangen. Doch selbst wenn der Beschwerdeführer sich seit seiner Verurteilung nichts mehr hätte zuschulden kommen lassen, spricht dies nicht zwingend gegen eine Rückfallgefahr, befand er sich doch in der strafrechtlichen Probezeit; zudem war das aufenthaltsrechtliche Widerrufsverfahren noch hängig. Bezeichnenderweise hat sich der Beschwerdeführer im Mai 2011 denn auch bereits wieder eine grobe Verkehrsregelverletzung zuschulden kommen lassen. Wenn ausländischen Staatsangehörigen bei Straffälligkeit schliesslich fremdenrechtlich andere Konsequenzen drohen als Schweizer Bürgern, liegt dies in der Natur der Sache; es besteht mit der Staatsbürgerschaft diesbezüglich ein sachlicher Grund für die behauptete Ungleichbehandlung ( BGE 139 I 37 E. 3.2 S. 37).</w:t>
      </w:r>
    </w:p>
    <w:p>
      <w:r>
        <w:rPr>
          <w:b/>
        </w:rPr>
        <w:t>E. 3.6</w:t>
      </w:r>
    </w:p>
    <w:p>
      <w:r>
        <w:t>Damit zielt der Vorwurf des Beschwerdeführers, die Vorinstanz habe seine privaten Interessen nicht rechtsgenüglich gewürdigt, offensichtlich ins Leere. Die Erwägungen der Vorinstanz, wonach der Widerruf der Niederlassungsbewilligung auch vor Art. 8 EMRK (Recht auf Achtung des Privat- und Familienlebens) standhalte, wird vom Beschwerdeführer sodann nicht (mehr) in Frage gestellt. In Würdigung all dieser Umstände ist es dem ledigen und kinderlosen Beschwerdeführer zuzumuten, in den Kosovo zurückzukehren. Seine privaten Interessen am Verbleib in der Schweiz vermögen das öffentliche Interesse an seiner Fernhaltung nicht aufzuwiegen. Zudem dürfen generalpräventive Gesichtspunkte bei ausländischen Personen, welche sich nicht auf das FZA (SR 0.142.112.681) berufen können, im Rahmen der Interessenabwägung berücksichtigt werden (Urteil 2C_679/2011 vom 21. Februar 2012 E. 3.1). Der angefochtene Entscheid erweist sich somit als verhältnismässig im Sinn von Art. 96 AuG.</w:t>
      </w:r>
    </w:p>
    <w:p>
      <w:r>
        <w:rPr>
          <w:b/>
        </w:rPr>
        <w:t>E. 3.7</w:t>
      </w:r>
    </w:p>
    <w:p>
      <w:r>
        <w:t>Soweit der Beschwerdeführer schliesslich - unter Berufung auf den per 1. Januar 2011 aufgehobenen aArt. 66 Abs. 2 AuG - vorbringt, die von der Vorinstanz angesetzte Ausreisefrist sei nicht angemessen, ist ihm Folgendes entgegenzuhalten: Die Vorinstanz hat im Urteil vom 14. Februar 2013 den Beschwerdeführer angewiesen, die Schweiz bis zum 31. März 2013 zu verlassen. Art. 64d Abs. 1 AuG (in Kraft seit 1. Januar 2011; AS 2010 5925) hält fest, dass mit der Wegweisungsverfügung eine angemessene Ausreisefrist zwischen sieben und dreissig Tagen anzusetzen ist. Wenn besondere Umstände wie die familiäre Situation, gesundheitliche Probleme oder eine lange Aufenthaltsdauer dies erfordern, ist eine längere Ausreisefrist anzusetzen oder die Ausreisefrist wird verlängert. Abgesehen davon, dass im vorliegenden Fall die von der Vorinstanz gesetzte Ausreisefrist durch den Verfahrensgang längst abgelaufen ist, liegt diese Frist ohne Weiteres im Rahmen von Art. 64d Abs. 1 AuG. Besondere Umstände, wie sie das Gesetz vorsieht, macht der Beschwerdeführer sodann nicht rechtsgenüglich geltend, weshalb der angefochtene Entscheid in dieser Hinsicht ebenfalls nicht zu beanstanden ist.</w:t>
      </w:r>
    </w:p>
    <w:p>
      <w:r>
        <w:rPr>
          <w:b/>
        </w:rPr>
        <w:t>E. 4</w:t>
      </w:r>
    </w:p>
    <w:p>
      <w:r>
        <w:t>Die Beschwerde erweist sich somit als unbegründet und ist abzuweisen, soweit darauf eingetreten werden kann. Dem Ausgang des Verfahrens entsprechend wird der Beschwerdeführer für dieses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