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256/2009 vom 28. September 2009</w:t>
      </w:r>
    </w:p>
    <w:p>
      <w:r>
        <w:t>Bundesgericht, 2009-09-28, DE</w:t>
      </w:r>
    </w:p>
    <w:p>
      <w:r>
        <w:rPr>
          <w:b/>
        </w:rPr>
        <w:t xml:space="preserve">Quelle: </w:t>
      </w:r>
      <w:r>
        <w:t>https://mcp.opencaselaw.ch/entscheid/bger_2C_256_2009</w:t>
      </w:r>
    </w:p>
    <w:p>
      <w:r>
        <w:t>FR: TF 2C 256/2009 du 28 septembre 2009</w:t>
      </w:r>
    </w:p>
    <w:p>
      <w:r>
        <w:t>IT: TF 2C 256/2009 del 28 settembre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und seinen Ausführungserlassen (Art. 126 Abs. 1 AuG).</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 Der Beschwerdeführer ist mit einer in der Schweiz niederlassungsberechtigten serbischen Staatsangehörigen verheiratet und lebt mit ihr zusammen. Damit steht ihm gestützt auf die erwähnte Bestimmung im Grundsatz ein Anspruch auf eine Aufenthaltsbewilligung zu. Ein analoger Anspruch besteht zudem aufgrund des in Art. 8 EMRK bzw. Art. 13 Abs. 1 BV garantierten Rechts auf Achtung des Familienlebens, wenn - wie vorliegend die Ehefrau und die Kinder - nahe Angehörige über ein gefestigtes Anwesenheitsrecht (insbesondere die Niederlassungsbewilligung) in der Schweiz verfügen und die familiäre Beziehung tatsächlich gelebt wird und intakt ist (vgl. BGE 130 II 281 E. 3.1 S. 285 f.; 129 II 193 E. 5.3.1 S. 211, je mit Hinweisen). Die Beschwerde in öffentlich-rechtlichen Angelegenheiten erweist sich damit als zulässig ( Art. 83 lit. c Ziff. 2 BGG ).</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Die vom Beschwerdeführer neu geltend gemachten Tatsachen (u.a. angebliche Gefährdung im Heimatland, Vollzeit-Anstellung) und die eingereichten Unterlagen, welche die Zeit nach dem angefochtenen Urteil betreffen (u.a. verschiedene übersetzte Schriftstücke, Arbeitsvertrag vom 1. Mai 2009) bleiben als echte Noven im vorliegenden Verfahren daher unbeachtlich.</w:t>
      </w:r>
    </w:p>
    <w:p>
      <w:r>
        <w:rPr>
          <w:b/>
        </w:rPr>
        <w:t>E. 2.1</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 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2.2</w:t>
      </w:r>
    </w:p>
    <w:p>
      <w:r>
        <w:t>Mit von Bedeutung ist vorliegend auch die so genannte, auf Ehegatten von Schweizerinnen zugeschnittene und für Ehegatten von Niedergelassenen verschärft zum Zuge kommende "Zweijahresregel", wonach einem Ausländer, der erstmals um eine Bewilligung ersucht oder nach bloss kurzer, ordnungsgemässer Aufenthaltsdauer deren Erneuerung beantragt, in der Regel selbst dann keine Bewilligung mehr erteilt wird, wenn dem Ehepartner die Ausreise un- oder nur schwer zumutbar ist. Es bedarf in solchen Fällen aussergewöhnlicher Umstände, um die Erteilung einer Aufenthaltsbewilligung noch zu rechtfertigen (sog. Reneja-Praxis, BGE 110 Ib 201 ). Bei der Limite von zwei Jahren handelt es sich allerdings nur um einen Richtwert und nicht um eine feste Grenze ( BGE 130 II 176 E. 4.1 S. 185 mit Hinweisen). Entscheidend kommt es auf die sich gegenüberstehenden Interessen an.</w:t>
      </w:r>
    </w:p>
    <w:p>
      <w:r>
        <w:rPr>
          <w:b/>
        </w:rPr>
        <w:t>E. 2.3</w:t>
      </w:r>
    </w:p>
    <w:p>
      <w:r>
        <w:t>Der Beschwerdeführer hat sich in der Schweiz des gewerbsmässigen Betrugs und der mehrfachen Irreführung der Rechtspflege schuldig gemacht und wurde hiefür zu drei Jahren Zuchthaus, d.h. zu einer klar über dem oben erwähnten Richtwert liegenden Strafe, verurteilt. Der Strafrichter hat das Verschulden des Beschwerdeführers als schwer qualifiziert und seine kriminelle Energie als gross erachtet. Der Beschwerdeführer hat über Jahre hinweg das leidende Unfallopfer gemimt und den Sozialstaat schamlos ausgebeutet und dann mittels eines zweiten simulierten Verkehrsunfalls versucht, auch der Ehefrau zu einer IV-Rente zu verhelfen. Er hat durch seine strafrechtlichen Verfehlungen nicht bloss wiederholt gegen die öffentliche Ordnung verstossen ( Art. 17 Abs. 2 ANAG ), sondern sogar einen Ausweisungsgrund gesetzt ( Art. 10 Abs. 1 lit. a ANAG ). Entsprechend gewichtig erscheint das öffentliche Interesse, dem Beschwerdeführer den weiteren Aufenthalt in der Schweiz zu versagen.</w:t>
      </w:r>
    </w:p>
    <w:p>
      <w:r>
        <w:rPr>
          <w:b/>
        </w:rPr>
        <w:t>E. 2.4</w:t>
      </w:r>
    </w:p>
    <w:p>
      <w:r>
        <w:t>Den öffentlichen Interessen sind im Rahmen der Verhältnismässigkeitsprüfung die privaten Interessen des Beschwerdeführers und seiner Angehörigen an einem Verbleib in der Schweiz gegenüberzustellen: Der Beschwerdeführer ist erst als Erwachsener (mit 22 Jahren) in die Schweiz gekommen. Er hat somit die gesamte Kindheit sowie die prägenden Jugendjahre in seinem Heimatland verbracht. Trotz verhältnismässig langem Aufenthalt ist er beruflich in der Schweiz nicht integriert. Nachdem er nur während sehr kurzer Zeit einer Erwerbstätigkeit nachgegangen war, bezog er von Februar 2001 bis März 2005 aufgrund seines inszenierten Unfalles und den simulierten Verletzungen und Beschwerden eine volle IV-Rente. Über besonders intensive soziale Beziehungen zum ausserfamiliären bzw. zum ausserhäuslichen Bereich in der Schweiz verfügt der Beschwerdeführer klarerweise nicht. Es kann davon ausgegangen werden, dass er mit den heimatlichen Verhältnissen nach wie vor bestens vertraut ist. Dies umso mehr, als er mehrheitlich Kontakte zu Landsleuten pflegt und sich zudem regelmässig besuchsweise nach Serbien begibt. Die Rückkehr in sein Heimatland, wo ein Grossteil seiner Familie lebt, ist folglich zumutbar. Seine Ehefrau hält sich zwar schon länger in der Schweiz auf, aber sie stammt ebenfalls aus Serbien und verfügt weiterhin über Beziehungen zum Heimatland, wo ausser den Angehörigen ihres Ehegatten noch zwei Schwestern wohnen. Zudem ist ihr Leumund in der Schweiz getrübt: Sie wurde zusammen mit ihrem Ehemann straffällig und daher zu einer bedingten Gefängnisstrafe von 18 Monaten verurteilt. In der Folge wurde sie fremdenpolizeilich verwarnt. Ob unter diesen Umständen von einer der Aufenthaltsdauer entsprechenden guten Integration gesprochen werden kann, ist fraglich, kann aber dahingestellt bleiben. Sollte sich die Ehefrau entschliessen, die Schweiz mit ihrem Ehemann zu verlassen, wäre es ihr jedenfalls zuzumuten, ihm in das gemeinsame Heimatland zu folgen, dasselbe gilt für die Kinder, die noch in einem anpassungsfähigen Alter sind (vgl. BGE 127 II 60 E. 2 S. 67 f., 122 II 289 E. 2c S. 298). Die beiden jüngeren Kinder wurden im Übrigen gezeugt, als die Eheleute bereits nicht mehr damit rechnen konnten, weiterhin gemeinsam in der Schweiz leben zu können.</w:t>
      </w:r>
    </w:p>
    <w:p>
      <w:r>
        <w:rPr>
          <w:b/>
        </w:rPr>
        <w:t>E. 2.5</w:t>
      </w:r>
    </w:p>
    <w:p>
      <w:r>
        <w:t>Aufgrund des Gesagten ist nicht zu beanstanden, dass das Verwaltungsgericht zum Schluss gekommen ist, das öffentliche Interesse an einer Nichtverlängerung der Aufenthaltsbewilligung des Beschwerdeführers überwiege dessen private und familiäre Interessen an einem Verbleiben in der Schweiz. Der Beschwerdeführer hat durch seine schweren strafrechtlichen Verfehlungen den Anspruch auf eine Aufenthaltsbewilligung gemäss Art. 17 ANAG verwirkt. Entsprechendes gilt auch für das aus Art. 8 EMRK ableitbare Aufenthaltsrecht. Ergänzend kann auf die Ausführungen im angefochtenen Entscheid verwiesen werden ( Art. 109 Abs. 3 BGG ).</w:t>
      </w:r>
    </w:p>
    <w:p>
      <w:r>
        <w:rPr>
          <w:b/>
        </w:rPr>
        <w:t>E. 3.1</w:t>
      </w:r>
    </w:p>
    <w:p>
      <w:r>
        <w:t>Die Beschwerde erweist sich somit als offensichtlich unbegründet und ist im vereinfachten Verfahren nach Art. 109 BGG abzuweisen.</w:t>
      </w:r>
    </w:p>
    <w:p>
      <w:r>
        <w:rPr>
          <w:b/>
        </w:rPr>
        <w:t>E. 3.2</w:t>
      </w:r>
    </w:p>
    <w:p>
      <w:r>
        <w:t>Bei diesem Verfahrensausgang wird der Beschwerdeführer kostenpflichtig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