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253/2020 vom 13. Juli 2020</w:t>
      </w:r>
    </w:p>
    <w:p>
      <w:r>
        <w:t>Bundesgericht, 2020-07-13, DE</w:t>
      </w:r>
    </w:p>
    <w:p>
      <w:r>
        <w:rPr>
          <w:b/>
        </w:rPr>
        <w:t xml:space="preserve">Quelle: </w:t>
      </w:r>
      <w:r>
        <w:t>https://mcp.opencaselaw.ch/entscheid/bger_2C_253_2020</w:t>
      </w:r>
    </w:p>
    <w:p>
      <w:r>
        <w:t>FR: TF 2C 253/2020 du 13 juillet 2020</w:t>
      </w:r>
    </w:p>
    <w:p>
      <w:r>
        <w:t>IT: TF 2C 253/2020 del 13 luglio 2020</w:t>
      </w:r>
    </w:p>
    <w:p>
      <w:pPr>
        <w:pStyle w:val="Heading2"/>
      </w:pPr>
      <w:r>
        <w:t>Regeste</w:t>
      </w:r>
    </w:p>
    <w:p>
      <w:r>
        <w:t>Amtshilfe DBA (CH-US) | Rechtshilfe und Auslieferung</w:t>
      </w:r>
    </w:p>
    <w:p>
      <w:pPr>
        <w:pStyle w:val="Heading2"/>
      </w:pPr>
      <w:r>
        <w:t>Erwägungen</w:t>
      </w:r>
    </w:p>
    <w:p>
      <w:r>
        <w:rPr>
          <w:b/>
        </w:rPr>
        <w:t>E. 1.1</w:t>
      </w:r>
    </w:p>
    <w:p>
      <w:r>
        <w:t>Als Endentscheid in einer Angelegenheit des öffentlichen Rechts unterliegt das angefochtene Urteil des Bundesverwaltungsgerichts nach Art. 82 lit. a in Verbindung mit Art. 86 Abs. 1 lit. a und Art. 90 BGG grundsätzlich der Beschwerde in öffentlich-rechtlichen Angelegenheiten.</w:t>
      </w:r>
    </w:p>
    <w:p>
      <w:r>
        <w:rPr>
          <w:b/>
        </w:rPr>
        <w:t>E. 1.2</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1.3</w:t>
      </w:r>
    </w:p>
    <w:p>
      <w:r>
        <w:t>Die ESTV wirft in ihrer Beschwerde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 Dieselbe Frage warf die ESTV im Verfahren 2C_537/2019 auf. Dort kam das Bundesgericht zum Schluss, dass es sich dabei um eine Rechtsfrage grundsätzlicher Bedeutung handelt, sodass es auf die Beschwerde eintrat und die Rechtsfrage beantwortete (vgl. Urteil 2C_537/2019 vom 13. Juli 2020 E. 1.3.2 und E. 3, zur Publikation vorgesehen). Da die Frage noch nicht entschieden war, als die ESTV im vorliegenden Verfahren Beschwerde erhob, ist praxisgemäss auf ihre Beschwerde einzutreten (vgl. Urteile 2C_598/2017 vom 29. März 2017 E. 1.3; 2C_988/2015 vom 29. März 2017 E. 1.1; 2C_527/2015 vom 3. Juni 2016 E. 1.2.2; 2C_289/2015 vom 5. April 2016 E. 1.2.2, nicht publ. in: BGE 142 II 218 , aber in: StR 71/2016 S. 710; 2C_216/2015 vom 8. November 2015 E. 1.3.2).</w:t>
      </w:r>
    </w:p>
    <w:p>
      <w:r>
        <w:rPr>
          <w:b/>
        </w:rPr>
        <w:t>E. 1.4</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1.5</w:t>
      </w:r>
    </w:p>
    <w:p>
      <w:r>
        <w:t>Da die Rechtsfrage grundsätzlicher Bedeutung zwischenzeitlich beantwortet wurde (vgl. Urteil 2C_537/2019 vom 13. Juli 2020 E. 3, zur Publikation vorgesehen), kann das Bundesgericht vorliegend in der Besetzung mit drei Richtern entscheiden (vgl. Art. 20 Abs. 1 und 2 BGG ).</w:t>
      </w:r>
    </w:p>
    <w:p>
      <w:r>
        <w:rPr>
          <w:b/>
        </w:rPr>
        <w:t>E. 2</w:t>
      </w:r>
    </w:p>
    <w:p>
      <w:r>
        <w:t>Obschon am 20. September 2019 das Protokoll zur Änderung des DBA CH-US vom 23. September 2009 (Änderungsprotokoll 2009; AS 2019 3145) in Kraft getreten ist und dadurch Art. 26 DBA CH-US geändert wurde, bleibt hier die alte Fassung von Art. 26 DBA CH-US (nachfolgend: Art. 26 aDBA CH-US) massgebend (vgl. Art. 5 Abs. 2 lit. b Änderungsprotokoll 2009; Urteil 2C_537/2019 vom 13. Juli 2020 E. 2).</w:t>
      </w:r>
    </w:p>
    <w:p>
      <w:r>
        <w:rPr>
          <w:b/>
        </w:rPr>
        <w:t>E. 3</w:t>
      </w:r>
    </w:p>
    <w:p>
      <w:r>
        <w:t>Vor Bundesgericht umstritten ist die Anordnung der Vorinstanz, wonach die ESTV den IRS bei der Übermittlung der Informationen darauf hinzuweisen habe, dass die Informationen nur in Verfahren gegen die in den USA steuerpflichtige, vom Ersuchen betroffene Person als wirtschaftlich Berechtigte für den im Ersuchen erwähnten Tatbestand verwendet werden dürfen und die Informationen gemäss Art. 26 Abs. 1 aDBA CH-US geheim zu halten sind. 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Im Grundsatzurteil 2C_537/2019 vom 13. Juli 2020 hat das Bundesgericht eingehend untersucht, ob Art. 26 Abs. 1 aDBA CH-US nicht nur in sachlicher, sondern auch in persönlicher Hinsicht eine Verwendungsbeschränkung enthält (vgl. Urteil 2C_537/2019 vom 13. Juli 2020 E. 3, zur Publikation vorgesehen). Unter Berücksichtigung namentlich der Systematik der Amtshilfe auf Ersuchen, des Zwecks des Spezialitätsprinzips und der auch völkerrechtlich garantierten Privatsphäre der Dritten, gegen welche die übermittelte Informationen sekundär verwendet werden könnten, kam das Bundesgericht zum Schluss, dass Art. 26 Abs. 1 aDBA CH-US den Vertragsstaaten nicht nur die in sachlicher Hinsicht zweckfremde Verwendung, sondern auch jede Verwendung übermittelter Informationen gegenüber Dritten verbietet (Urteil 2C_537/2019 vom 13. Juli 2020 E. 3.4 und 3.5, zur Publikation vorgesehen). Obschon sich diese Verwendungsbeschränkung unmittelbar aus dem völkerrechtlichen Vertrag ergibt un der Vertragspartner grundsätzlich nicht an seine vertraglichen Verpflichtungen erinnert werden muss, rechtfertigte es sich angesichts der unklaren Rechtslage, dass die ESTV den IRS auf die Verwendungsbeschränkung in persönlicher Hinsicht hinwies, wie dies das Bundesverwaltungsgericht angeordnet hatte (Urteil 2C_537/2019 vom 13. Juli 2020 E. 3.7, zur Publikation vorgesehen).</w:t>
      </w:r>
    </w:p>
    <w:p>
      <w:r>
        <w:rPr>
          <w:b/>
        </w:rPr>
        <w:t>E. 3.2</w:t>
      </w:r>
    </w:p>
    <w:p>
      <w:r>
        <w:t>Diese Überlegungen sind hier integral zu übernehmen, zumal die Fälle in den wesentlichen Teilen gleich gelagert sind. Die Anordnung der Vorinstanz, wonach die ESTV den IRS auf die Verwendungsbeschränkung in persönlicher Hinsicht hinweisen müsse, lässt sich demnach völker- und bundesrechtlich nicht beanstanden.</w:t>
      </w:r>
    </w:p>
    <w:p>
      <w:r>
        <w:rPr>
          <w:b/>
        </w:rPr>
        <w:t>E. 4</w:t>
      </w:r>
    </w:p>
    <w:p>
      <w:r>
        <w:t>Die Beschwerde der ESTV enthält ferner Ausführungen darüber, unter welchen Umständen einer Person in Verfahren der Steueramtshilfe Parteistellung eingeräumt werden muss.</w:t>
      </w:r>
    </w:p>
    <w:p>
      <w:r>
        <w:rPr>
          <w:b/>
        </w:rPr>
        <w:t>E. 4.1</w:t>
      </w:r>
    </w:p>
    <w:p>
      <w:r>
        <w:t>Der Beschwerdegegner hatte vor der Vorinstanz beantragt, dass die ESTV ihn über künftige Amtshilfeverfahren zu informieren und ihm Parteistellung einzuräumen habe. Mit diesem Antrag ist der Beschwerdegegner jedoch unterlegen. Die ESTV beantragt in diesem Punkt denn auch keine Änderung des angefochtenen Urteils. Sie scheint sich lediglich an der Begründung der Vorinstanz zu stören.</w:t>
      </w:r>
    </w:p>
    <w:p>
      <w:r>
        <w:rPr>
          <w:b/>
        </w:rPr>
        <w:t>E. 4.2</w:t>
      </w:r>
    </w:p>
    <w:p>
      <w:r>
        <w:t>Es ist grundsätzlich nicht Aufgabe des Bundesgerichts, Rechtsfragen zu prüfen, die keine Auswirkungen auf den Verfahrensausgang haben ( BGE 142 II 161 E. 3 S. 173). Dementsprechend drängt es sich an dieser Stelle nicht auf, sich mit der Kritik der ESTV an der Begründung der Vorinstanz näher auseinanderzusetzen. Das gilt umso mehr, als das Bundesgericht die aufgeworfene Frage in zwei kürzlich ergangenen Urteilen eingehend beantwortetet hat (vgl. Urteile 2C_376/2019 vom 13. Juli 2020; 2C_687/2019 vom 13. Juli 2020).</w:t>
      </w:r>
    </w:p>
    <w:p>
      <w:r>
        <w:rPr>
          <w:b/>
        </w:rPr>
        <w:t>E. 5</w:t>
      </w:r>
    </w:p>
    <w:p>
      <w:r>
        <w:t>Die Beschwerde erweist sich als unbegründet und ist abzuweisen. Es sind keine Gerichtskosten zu erheben ( Art. 66 Abs. 4 BGG ). Die ESTV hat dem Beschwerdegegner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