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2C_252/2020 vom 13. Juli 2020</w:t>
      </w:r>
    </w:p>
    <w:p>
      <w:r>
        <w:t>Bundesgericht, 2020-07-13, DE</w:t>
      </w:r>
    </w:p>
    <w:p>
      <w:r>
        <w:rPr>
          <w:b/>
        </w:rPr>
        <w:t xml:space="preserve">Quelle: </w:t>
      </w:r>
      <w:r>
        <w:t>https://mcp.opencaselaw.ch/entscheid/bger_2C_252_2020</w:t>
      </w:r>
    </w:p>
    <w:p>
      <w:r>
        <w:t>FR: TF 2C_252/2020 du 13 juillet 2020</w:t>
      </w:r>
    </w:p>
    <w:p>
      <w:r>
        <w:t>IT: TF 2C_252/2020 del 13 luglio 2020</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w:t>
      </w:r>
    </w:p>
    <w:p>
      <w:r>
        <w:t>Dieselbe Frage warf die ESTV im Verfahren 2C_537/2019 auf. Dort kam das Bundesgericht zum Schluss, dass es sich dabei um eine Rechtsfrage grundsätzlicher Bedeutung handelt, sodass es auf die Beschwerde eintrat und die Rechtsfrage beantwortete (vgl. Urteil 2C_537/2019 vom 13. Juli 2020 E. 1.3.2 und E. 3, zur Publikation vorgesehen).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November 2015 E. 1.3.2).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1.5</w:t>
      </w:r>
    </w:p>
    <w:p>
      <w:r>
        <w:t>Da die Rechtsfrage grundsätzlicher Bedeutung zwischenzeitlich beantwortet wurde (vgl. Urteil 2C_537/2019 vom 13. Juli 2020 E. 3, zur Publikation vorgesehen), kann das Bundesgericht vorliegend in der Besetzung mit drei Richtern entscheiden (vgl. Art. 20 Abs. 1 und 2 BGG ).</w:t>
      </w:r>
    </w:p>
    <w:p>
      <w:r>
        <w:rPr>
          <w:b/>
        </w:rPr>
        <w:t>E. 2</w:t>
      </w:r>
    </w:p>
    <w:p>
      <w:r>
        <w:t>Obschon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Vor Bundesgericht umstritten ist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Art. 26 Abs. 1 aDBA CH-US geheim zu halten sind.</w:t>
      </w:r>
    </w:p>
    <w:p>
      <w:r>
        <w:t>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und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den wesentlichen Teilen gleich gelagert sind. Die Anordnung der Vorinstanz, wonach die ESTV den IRS auf die Verwendungsbeschränkung in persönlicher Hinsicht hinweisen müsse, lässt sich demnach völker- und bundesrechtlich nicht beanstanden.</w:t>
      </w:r>
    </w:p>
    <w:p>
      <w:r>
        <w:rPr>
          <w:b/>
        </w:rPr>
        <w:t>E. 4</w:t>
      </w:r>
    </w:p>
    <w:p>
      <w:r>
        <w:t>Die Beschwerde der ESTV enthält ferner Ausführungen darüber, unter welchen Umständen einer Person in Verfahren der Steueramtshilfe Parteistellung eingeräumt werden muss.</w:t>
      </w:r>
    </w:p>
    <w:p>
      <w:r>
        <w:rPr>
          <w:b/>
        </w:rPr>
        <w:t>E. 4.1</w:t>
      </w:r>
    </w:p>
    <w:p>
      <w:r>
        <w:t>Die Beschwerdegegnerinnen hatten vor der Vorinstanz beantragt, dass die ESTV sie über künftige Amtshilfeverfahren zu informieren und ihnen Parteistellung einzuräumen habe. Mit diesem Antrag sind die Beschwerdegegnerinnen jedoch unterlegen. Die ESTV beantragt in diesem Punkt denn auch keine Änderung des angefochtenen Urteils. Sie scheint sich lediglich an der Begründung der Vorinstanz zu stören.</w:t>
      </w:r>
    </w:p>
    <w:p>
      <w:r>
        <w:rPr>
          <w:b/>
        </w:rPr>
        <w:t>E. 4.2</w:t>
      </w:r>
    </w:p>
    <w:p>
      <w:r>
        <w:t>Es ist grundsätzlich nicht Aufgabe des Bundesgerichts, Rechtsfragen zu prüfen, die keine Auswirkungen auf den Verfahrensausgang haben ( BGE 142 II 161 E. 3 S. 173). Dementsprechend drängt es sich an dieser Stelle nicht auf, sich mit der Kritik der ESTV an der Begründung der Vorinstanz näher auseinanderzusetzen. Das gilt umso mehr, als das Bundesgericht die aufgeworfene Frage in zwei heute ergangenen Urteilen eingehend beantwortetet hat (vgl. Urteile 2C_376/2019 vom 13. Juli 2020; 2C_687/2019 vom 13. Juli 2020).</w:t>
      </w:r>
    </w:p>
    <w:p>
      <w:r>
        <w:rPr>
          <w:b/>
        </w:rPr>
        <w:t>E. 5</w:t>
      </w:r>
    </w:p>
    <w:p>
      <w:r>
        <w:t>Die Beschwerde erweist sich als unbegründet und ist abzuweisen. Es sind keine Gerichtskosten zu erheben ( Art. 66 Abs. 4 BGG ). Die ESTV hat den Beschwerdegegnerinnen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