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2C_252/2016 vom 17. März 2016</w:t>
      </w:r>
    </w:p>
    <w:p>
      <w:r>
        <w:t>Bundesgericht, 2016-03-17, FR</w:t>
      </w:r>
    </w:p>
    <w:p>
      <w:r>
        <w:rPr>
          <w:b/>
        </w:rPr>
        <w:t xml:space="preserve">Quelle: </w:t>
      </w:r>
      <w:r>
        <w:t>https://mcp.opencaselaw.ch/entscheid/bger_2C_252_2016</w:t>
      </w:r>
    </w:p>
    <w:p>
      <w:r>
        <w:t>FR: TF 2C_252/2016 du 17 mars 2016</w:t>
      </w:r>
    </w:p>
    <w:p>
      <w:r>
        <w:t>IT: TF 2C_252/2016 del 17 marzo 2016</w:t>
      </w:r>
    </w:p>
    <w:p>
      <w:pPr>
        <w:pStyle w:val="Heading2"/>
      </w:pPr>
      <w:r>
        <w:t>Erwägungen</w:t>
      </w:r>
    </w:p>
    <w:p>
      <w:r>
        <w:rPr>
          <w:b/>
        </w:rPr>
        <w:t>E. 1</w:t>
      </w:r>
    </w:p>
    <w:p>
      <w:r>
        <w:t>Par arrêt du 16 février 2016, le Tribunal cantonal du canton de Vaud a rejeté le recours que X.________, ressortissant somalien né le 17 avril 1990, a déposé contre la décision du Service de la population du canton de Vaud du 10 juillet 2015 refusant de lui octroyer une autorisation de réadmission en application de l'art. 30 al. 1 LEtr.</w:t>
      </w:r>
    </w:p>
    <w:p>
      <w:r>
        <w:rPr>
          <w:b/>
        </w:rPr>
        <w:t>E. 2</w:t>
      </w:r>
    </w:p>
    <w:p>
      <w:r>
        <w:t>Par mémoire du 15 mars 2016, l'intéressé dépose un recours contre l'arrêt rendu le 16 février 2016 par le Tribunal cantonal du canton de Vaud. Il demande l'annulation de l'arrêt attaqué ainsi que l'octroi d'une autorisation de séjour. Il invoque la protection de la vie privée au sens de l' art. 8 CEDH , en ce qu'il est arrivé et a vécu en Suisse dès sa naissance hormis 4 ans et demi passé à l'étranger en plusieurs périodes. Il sollicite l'octroi de l'assistance judiciaire.</w:t>
      </w:r>
    </w:p>
    <w:p>
      <w:r>
        <w:rPr>
          <w:b/>
        </w:rPr>
        <w:t>E. 3</w:t>
      </w:r>
    </w:p>
    <w:p>
      <w:r>
        <w:t>Le recours en matière de droit public est irrecevable contre les décisions en matière de droit des étrangers qui concernent une décision à laquelle ni le droit fédéral ni le droit international ne donnent droit ainsi que contre celles qui concernent les dérogations aux conditions d'admission ( art. 83 let . c ch. 2 et 5 LTF). Le recourant ne peut pas invoquer de manière défendable la protection de la vie privée garantie par l' art. 8 CEDH , qui n'ouvre le droit à une autorisation de séjour qu'à des conditions restrictives. L'étranger doit en effet établir l'existence de liens sociaux et professionnels spécialement intenses avec la Suisse, notablement supérieurs à ceux qui résultent d'une intégration ordinaire. Or, non seulement le recourant ne peut se prévaloir d'une intégration en Suisse qui sort de l'ordinaire, puisqu'il n'y a pratiquement jamais travaillé, mais encore il a fait l'objet de nombreuses condamnations pénales. Il s'ensuit que le recours en matière de droit public est irrecevable et que seul le recours constitutionnel subsidiaire ( art. 113 LTF ) pour violation des droits constitutionnels ( art. 116 LTF ) est ouvert.</w:t>
      </w:r>
    </w:p>
    <w:p>
      <w:r>
        <w:rPr>
          <w:b/>
        </w:rPr>
        <w:t>E. 4.1</w:t>
      </w:r>
    </w:p>
    <w:p>
      <w:r>
        <w:t>La qualité pour former un recours constitutionnel subsidiaire suppose un intérêt juridique à l'annulation ou à la modification de la décision attaquée ( art. 115 let. b LTF ). Le recourant, qui ne peut se prévaloir de l'art. 30 al. 1 LEtr, dont la formulation est potestative, ni de l' art. 8 CEDH (cf. consid. 3 ci-dessus),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 le recourant n'a pas fait.</w:t>
      </w:r>
    </w:p>
    <w:p>
      <w:r>
        <w:rPr>
          <w:b/>
        </w:rPr>
        <w:t>E. 5</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