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250/2010 vom 26. August 2010</w:t>
      </w:r>
    </w:p>
    <w:p>
      <w:r>
        <w:t>Bundesgericht, 2010-08-26, DE</w:t>
      </w:r>
    </w:p>
    <w:p>
      <w:r>
        <w:rPr>
          <w:b/>
        </w:rPr>
        <w:t xml:space="preserve">Quelle: </w:t>
      </w:r>
      <w:r>
        <w:t>https://mcp.opencaselaw.ch/entscheid/bger_2C_250_2010</w:t>
      </w:r>
    </w:p>
    <w:p>
      <w:r>
        <w:t>FR: TF 2C 250/2010 du 26 août 2010</w:t>
      </w:r>
    </w:p>
    <w:p>
      <w:r>
        <w:t>IT: TF 2C 250/2010 del 26 agosto 2010</w:t>
      </w:r>
    </w:p>
    <w:p>
      <w:pPr>
        <w:pStyle w:val="Heading2"/>
      </w:pPr>
      <w:r>
        <w:t>Regeste</w:t>
      </w:r>
    </w:p>
    <w:p>
      <w:r>
        <w:t>Direkte Bundessteuer 2002 | Öffentliche Finanzen &amp; Abgaberecht</w:t>
      </w:r>
    </w:p>
    <w:p>
      <w:pPr>
        <w:pStyle w:val="Heading2"/>
      </w:pPr>
      <w:r>
        <w:t>Erwägungen</w:t>
      </w:r>
    </w:p>
    <w:p>
      <w:r>
        <w:rPr>
          <w:b/>
        </w:rPr>
        <w:t>E. 1.1</w:t>
      </w:r>
    </w:p>
    <w:p>
      <w:r>
        <w:t>Beim angefochtenen Entscheid handelt es sich um einen kantonal letztinstanzlichen Entscheid in einer Angelegenheit des öffentlichen Rechts, die unter keinen Ausschlussgrund gemäss Art. 83 BGG fällt und daher mit Beschwerde in öffentlich-rechtlichen Angelegenheiten an das Bundesgericht weitergezogen werden kann ( Art. 82 Abs. 1 lit. a und Art. 86 Abs. 1 lit. d BGG ).</w:t>
      </w:r>
    </w:p>
    <w:p>
      <w:r>
        <w:rPr>
          <w:b/>
        </w:rPr>
        <w:t>E. 1.2</w:t>
      </w:r>
    </w:p>
    <w:p>
      <w:r>
        <w:t>Der angefochtene Entscheid beendet das Verfahren zwar nicht, sondern die Sache geht zu neuem Entscheid an die Steuerrekurskommission II des Kantons Zürich zurück (Rückweisungsentscheid). Solche Entscheide werden ausnahmsweise dann wie Endentscheide behandelt, wenn der unteren Instanz, an welche die Sache zurückgewiesen wird, kein Entscheidungsspielraum mehr verbleibt und die Rückweisung nur noch der rechnerischen Umsetzung des oberinstanzlich Angeordneten dient ( BGE 134 II 124 E. 1.3 S. 127). Hier hat die Steuerrekurskommission II des Kantons Zürich zunächst die Differenz zwischen dem Anlagewert der sich auf den baurechtsbelasteten Grundstücken befindlichen Bauten und der anteiligen Einmalentschädigung zu ermitteln. Im Weiteren hat sie die auf den im Baurecht abgegebenen Liegenschaften ruhenden stillen Reserven festzustellen und diesen Betrag ebenfalls, weil der Vorgang "zur Aufhebung der fiskalischen Verknüpfung der stillen Reserven" führt, zu den Einkünften aus selbständiger Erwerbstätigkeit hinzuzurechnen. Damit hat die Steuerrekurskommission II des Kantons Zürich ergänzende Sachverhaltsabklärungen vorzunehmen. Diese erfordern eine Würdigung und Subsumtion unter die einschlägigen Normen (Urteil 2C_814/2009 vom 6. April 2010 E. 2.2; Urteil 2C_258/2008 vom 27. März 2009 E. 3.3, in: StE 2009 B 96.21 Nr. 14). Damit stellt der Rückweisungsentscheid entgegen den Vorbringen der Beschwerdeführerin keinen (Quasi)-Endentscheid, sondern einen Zwischenentscheid im Sinne von Art. 93 BGG dar.</w:t>
      </w:r>
    </w:p>
    <w:p>
      <w:r>
        <w:rPr>
          <w:b/>
        </w:rPr>
        <w:t>E. 2</w:t>
      </w:r>
    </w:p>
    <w:p>
      <w:r>
        <w:t>Ein Zwischenentscheid ist einerseits anfechtbar, wenn er einen nicht wieder gutzumachenden Nachteil bewirken könnte ( Art. 93 Abs. 1 lit. a BGG ) oder andererseits, wenn die Gutheissung der Beschwerde sofort einen Endentscheid herbeiführen und damit einen bedeutenden Aufwand an Zeit oder Kosten für ein weitläufiges Beweisverfahren ersparen würde ( Art. 93 Abs. 1 lit. b BGG ).</w:t>
      </w:r>
    </w:p>
    <w:p>
      <w:r>
        <w:rPr>
          <w:b/>
        </w:rPr>
        <w:t>E. 2.1</w:t>
      </w:r>
    </w:p>
    <w:p>
      <w:r>
        <w:t>Einen nicht wieder gutzumachenden Nachteil im Sinne von Art. 93 Abs. 1 lit. a BGG nimmt das Bundesgericht an, wenn eine beschwerdebefugte Behörde durch einen Rückweisungsentscheid gezwungen wird, eine ihrer Ansicht nach rechtswidrige Verfügung zu erlassen. Da sie ihren eigenen Entscheid nicht anfechten kann, könnte dieser rechtskräftig werden, ohne dass er einmal dem Bundesgericht unterbreitet werden konnte. Um dies zu vermeiden, darf eine beschwerdebefugte Behörde unter Berufung auf Art. 93 Abs. 1 lit. a BGG bereits gegen den Rückweisungsentscheid oder einen ihn bestätigenden Entscheid an das Bundesgericht gelangen (Urteil 2C_420/2008 vom 3. Februar 2009 E. 4.5.1 mit Hinweisen, in: StE 2010 A 23.21 Nr. 2 [mit falschem Urteilsdatum]). Einen solchen Nachteil erleidet jedoch die Beschwerdeführerin nicht, ist sie doch - namentlich bei der direkten Bundessteuer - für den gesamten, dem bundesgerichtlichen Verfahren vorgelagerten Instanzenzug zur Beschwerdeführung befugt, so dass ihr kein Nachteil im Sinne von Art. 93 Abs. 1 lit. a BGG entstehen kann. Dies gilt jedenfalls in einem Fall wie hier, wo die Beschwerdeführerin am vorinstanzlichen Verfahren nicht teilgenommen hat (Urteil 2C_420/2008 vom 3. Februar 2009 E. 4.5.3 und 4. 6 mit Hinweisen, in: StE 2010 A 23.21 Nr. 2 [mit falschem Urteilsdatum]).</w:t>
      </w:r>
    </w:p>
    <w:p>
      <w:r>
        <w:rPr>
          <w:b/>
        </w:rPr>
        <w:t>E. 2.2</w:t>
      </w:r>
    </w:p>
    <w:p>
      <w:r>
        <w:t>Ein Zwischenentscheid ist sodann anfechtbar, wenn die Gutheissung der Beschwerde sofort einen Endentscheid herbeiführen und damit einen bedeutenden Aufwand an Zeit oder Kosten für ein weitläufiges Beweisverfahren ersparen würde ( Art. 93 Abs. 1 lit. b BGG ). Hilfsweise stützt sich denn die Beschwerdeführerin auch auf diese Bestimmung. Allerdings legt sie nicht näher dar, weshalb diese gesetzlichen Voraussetzungen gerade hier erfüllt sein sollen. Die gemäss Rückweisungsentscheid vorzunehmende Sachverhaltsabklärung erfordert kein weitläufiges Beweisverfahren, welches mit einem bedeutenden Aufwand an Zeit oder Kosten verbunden wäre. Kommt hinzu, dass der Entscheid betreffend die Staats- und Gemeindesteuern offenbar nicht angefochten wurde. Deshalb muss die Steuerrekurskommission II des Kantons Zürich die angeordneten Sachverhaltsabklärungen so oder so vornehmen. Damit fehlt es ebenso an den Voraussetzungen von Art. 93 Abs. 1 lit. b BGG (Urteil 2C_814/2009 vom 6. April 2010 E. 2.3).</w:t>
      </w:r>
    </w:p>
    <w:p>
      <w:r>
        <w:rPr>
          <w:b/>
        </w:rPr>
        <w:t>E. 3</w:t>
      </w:r>
    </w:p>
    <w:p>
      <w:r>
        <w:t>Angesichts dieser Ausführungen kann die Frage offenbleiben, ob die Beschwerdefrist - wie die Beschwerdegegner bezweifeln - überhaupt eingehalten ist.</w:t>
      </w:r>
    </w:p>
    <w:p>
      <w:r>
        <w:rPr>
          <w:b/>
        </w:rPr>
        <w:t>E. 4.1</w:t>
      </w:r>
    </w:p>
    <w:p>
      <w:r>
        <w:t>Nach dem Gesagten kann die Beschwerdeführerin im jetzigen Stadium noch nicht ans Bundesgericht gelangen. Auf ihre Beschwerde ist daher nicht einzutreten.</w:t>
      </w:r>
    </w:p>
    <w:p>
      <w:r>
        <w:rPr>
          <w:b/>
        </w:rPr>
        <w:t>E. 4.2</w:t>
      </w:r>
    </w:p>
    <w:p>
      <w:r>
        <w:t>Diesem Ausgang entsprechend hat die die Vermögensinteressen des Bundes wahrnehmende Beschwerdeführerin die Kosten des bundesgerichtlichen Verfahrens zu tragen (Art. 65 f. BGG). Sie hat den Beschwerdegegnern zudem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