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2C_24/2020 vom 21. April 2020</w:t>
      </w:r>
    </w:p>
    <w:p>
      <w:r>
        <w:t>Bundesgericht, 2020-04-21, DE</w:t>
      </w:r>
    </w:p>
    <w:p>
      <w:r>
        <w:rPr>
          <w:b/>
        </w:rPr>
        <w:t xml:space="preserve">Quelle: </w:t>
      </w:r>
      <w:r>
        <w:t>https://mcp.opencaselaw.ch/entscheid/bger_2C_24_2020</w:t>
      </w:r>
    </w:p>
    <w:p>
      <w:r>
        <w:t>FR: TF 2C_24/2020 du 21 avril 2020</w:t>
      </w:r>
    </w:p>
    <w:p>
      <w:r>
        <w:t>IT: TF 2C_24/2020 del 21 aprile 2020</w:t>
      </w:r>
    </w:p>
    <w:p>
      <w:pPr>
        <w:pStyle w:val="Heading2"/>
      </w:pPr>
      <w:r>
        <w:t>Erwägungen</w:t>
      </w:r>
    </w:p>
    <w:p>
      <w:r>
        <w:rPr>
          <w:b/>
        </w:rPr>
        <w:t>E. 1.1</w:t>
      </w:r>
    </w:p>
    <w:p>
      <w:r>
        <w:t>Die Beschwerde richtet sich gegen einen Endentscheid einer letzten kantonalen Instanz, der ein Reglement einer mit einer öffentlichen Aufgabe betrauten Organisation - die Tarifverordnung - zum Streitgegenstand hat. Vor der Vorinstanz hatte die Beschwerdeführerin zwar nicht die Tarifverordnung, sondern die Genehmigung bzw. die Nichtgenehmigung von Art. 1.3 der Tarifverordnung durch den Beschwerdegegner angefochten. Dennoch brachte die Vorinstanz das Verfahren der abstrakten Normenkontrolle zur Anwendung, weil sich der Beschwerdegegner mit der Nichtgenehmigung von Art. 1.3 der Tarifverordnung letztlich selbst als Gesetzgeber betätigt habe und sein Genehmigungsentscheid kein eigenständiges Anfechtungsobjekt, sondern Teil des Rechtsetzungsverfahrens sei (vgl. E. 1.1 des angefochtenen Urteils mit Hinweisen auf die Lehre). Unabhängig davon, ob diese Einschätzung der Vorinstanz auch für das Verfahren der Beschwerde in öffentlich-rechtlichen Angelegenheiten zu übernehmen oder stattdessen nicht von einem Erlass, sondern von einem Entscheid auszugehen ist (vgl. in diese Richtung Urteil 2C_518/2012 vom 23. November 2012 E. 1), liegt jedenfalls ein geeignetes Anfechtungsobjekt vor (Art. 82 lit. a oder b, Art. 86 Abs. 2 oder Art. 87 Abs. 2 i.V.m. Art. 86 Abs. 2 und Art. 90 BGG ). Die Beschwerdeführerin ist als Konzessionärin von der Tarifverordnung selbst unmittelbar betroffen und hat ein schutzwürdiges Interesse an der Änderung der Verordnung bzw. an der Bestätigung der von ihr ursprünglich verabschiedeten Fassung. Sie hat am Verfahren vor der Vorinstanz teilgenommen und ist somit zur Beschwerde legitimiert ( Art. 89 Abs. 1 BGG ). Die Beschwerde wurde fristgerecht eingereicht ( Art. 100 Abs. 1 BGG ).</w:t>
      </w:r>
    </w:p>
    <w:p>
      <w:r>
        <w:rPr>
          <w:b/>
        </w:rPr>
        <w:t>E. 1.2</w:t>
      </w:r>
    </w:p>
    <w:p>
      <w:r>
        <w:t>Der Beschwerdegegner führt aus, dass auf die Beschwerde nicht eingetreten werden könne, weil sie keine zulässigen Rügen enthalte und sie aus diesem Grund den formellen Anforderungen nicht gerecht werde. Soweit die Beschwerdeführerin die Verletzung von Grundrechten, namentlich der Rechtsgleichheit ( Art. 8 BV ) und des Willkürverbots ( Art. 9 BV ), geltend mache, genüge ihre Beschwerde den strengen Begründungsanforderungen gemäss Art. 106 Abs. 2 BGG nicht.</w:t>
      </w:r>
    </w:p>
    <w:p>
      <w:r>
        <w:rPr>
          <w:b/>
        </w:rPr>
        <w:t>E. 1.2.1</w:t>
      </w:r>
    </w:p>
    <w:p>
      <w:r>
        <w:t>Mit der Beschwerde in öffentlich-rechtlichen Angelegenheiten können Rechtsverletzungen nach Art. 95 und 96 BGG gerügt werden. Das Bundesgericht wendet das Recht von Amtes wegen an ( Art. 106 Abs. 1 BGG ).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1.2.2</w:t>
      </w:r>
    </w:p>
    <w:p>
      <w:r>
        <w:t>In der Tat legt die Beschwerdeführerin in ihrer Beschwerde in erster Linie dar, weswegen sie die von ihr beschlossene Fassung von Art. 1.3 der Tarifverordnung für mit Art. 8 Abs. 1 BV vereinbar hält, statt sich der Frage zu widmen, inwiefern das angefochtene Urteil das Bundesrecht - z.B. Art. 8 Abs. 1 BV - verletzt. Immerhin erklärt die Beschwerdeführerin aber, dass sich der Beschwerdegegner auf unsachliche Gründe gestützt und so seinerseits Art. 8 BV verletzt habe, als er die Genehmigung von Art. 1.3 der Tarifverordnung verweigerte. Damit wird sie dem strengen Rügeprinzip von Art. 106 Abs. 2 BGG hinsichtlich des Anspruchs auf Rechtsgleichheit gemäss Art. 8 BV gerade noch gerecht. Die Beschwerde enthält somit zumindest eine zulässige Rüge. Auf die Beschwerde ist einzutreten.</w:t>
      </w:r>
    </w:p>
    <w:p>
      <w:r>
        <w:rPr>
          <w:b/>
        </w:rPr>
        <w:t>E. 2.1</w:t>
      </w:r>
    </w:p>
    <w:p>
      <w:r>
        <w:t>Erlasse verletzen das Gebot der Rechtsgleichheit, wenn sie rechtliche Unterscheidungen treffen, für die ein vernünftiger Grund in den zu regelnden Verhältnissen nicht ersichtlich ist, oder Unterscheidungen unterlassen, die sich aufgrund der Verhältnisse aufdrängen. Das Rechtsgleichheitsgebot ist insbesondere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Dem Gesetzgeber bleibt im Rahmen dieser Grundsätze und des Willkürverbots ein weiter Spielraum der Gestaltung ( BGE 141 I 235 E. 7.1 S. 239 f.; 136 II 120 E. 3.3.2 S. 127 ; 133 I 249 E. 3.3 S. 255 ; 131 I 1 E. 4.2 S. 7). Das Bundesgericht übt bei der Überprüfung kantonaler und kommunaler Erlasse daher eine gewisse Zurückhaltung und greift von Verfassungs wegen bloss ein, wenn der Kanton oder die Gemeinde mit den getroffenen Unterscheidungen eine Grenze zieht, die sich nicht vernünftig begründen lässt, die unhaltbar ist und damit in den meisten Fällen auch geradezu willkürlich ist ( BGE 140 II 157 E. 7.3 S. 161 ; 126 I 76 E. 2a S. 78 ; 123 I 1 E. 6a S. 7 f.; 114 Ia 221 E. 2b S. 224; 109 Ia 325 E. 4 S. 327 f.).</w:t>
      </w:r>
    </w:p>
    <w:p>
      <w:r>
        <w:rPr>
          <w:b/>
        </w:rPr>
        <w:t>E. 2.2</w:t>
      </w:r>
    </w:p>
    <w:p>
      <w:r>
        <w:t>Der Beschwerdegegner hat die Beschwerdeführerin verpflichtet, die Tarifverordnung dahingehend anzupassen, dass die Mitglieder der Beschwerdeführerin, die ein Bezugsrecht erworben haben, Wasser im Gegenwert von Fr. 250.-- pro Jahr gratis beziehen können bzw. ihnen dieser Betrag von ihrer jährlichen Wasserrechnung abgezogen wird. Die Vorinstanz sah den Unterschied zwischen Mitgliedern der Beschwerdeführerin und anderen Wasserbezügern, der diese Vorzugsbehandlung der erstgenannten Gruppe rechtfertige, im einmaligen Preis von Fr. 5'250.--, den die Mitglieder für ein Bezugsrecht entrichten müssen.</w:t>
      </w:r>
    </w:p>
    <w:p>
      <w:r>
        <w:rPr>
          <w:b/>
        </w:rPr>
        <w:t>E. 2.3</w:t>
      </w:r>
    </w:p>
    <w:p>
      <w:r>
        <w:t>Auch die Beschwerdeführerin scheint der Ansicht zu sein, dass in diesem Preis für ein Bezugsrecht der wesentliche Unterschied zwischen den zwei Gruppen liegt, wobei sie daneben auch noch gewisse Pflichten der Mitglieder anführt, die sich aus ihrer Mitgliedschaft in der Genossenschaft ergeben. Sie hält jedoch dafür, dass den Mitgliedern aufgrund der Kosten ihres Bezugsrechts nicht der Bezug von Wasser im Gegenwert von Fr. 250.--, sondern der Freibezug von 250 m³ Wasser pro Jahr zugestanden werden müsse.</w:t>
      </w:r>
    </w:p>
    <w:p>
      <w:r>
        <w:rPr>
          <w:b/>
        </w:rPr>
        <w:t>E. 2.4</w:t>
      </w:r>
    </w:p>
    <w:p>
      <w:r>
        <w:t>Solange der Wasserpreis bei Fr. 1.-- pro m³ bleibt, führen beide Lösungen unbestrittenermassen zum selben Resultat. Sollte der Wasserpreis sinken, wäre die von der Beschwerdeführerin vorgeschlagene Lösung für ihre Mitglieder weniger günstig als die Lösung des Beschwerdegegners. Steigt der Wasserpreis jedoch, was die Parteien und die Vorinstanz als wahrscheinlicheres Szenario bezeichnen, profitieren die Inhaber der Bezugsrechte, wenn ihr Bezugsrecht nach Volumen statt nach einem Gegenwert in Geld bemessen wird. Die Beschwerdeführerin kann mit ihrem Anliegen also nur durchdringen, falls es sachliche Gründe dafür gibt, die Inhaber der Bezugsrechte dergestalt am Wertschwankungsrisiko des Wassers zu beteiligen.</w:t>
      </w:r>
    </w:p>
    <w:p>
      <w:r>
        <w:rPr>
          <w:b/>
        </w:rPr>
        <w:t>E. 2.5</w:t>
      </w:r>
    </w:p>
    <w:p>
      <w:r>
        <w:t>Bei der Prüfung, ob der kantonale oder kommunale Gesetzgeber in einer Norm sachlich gerechtfertigte Unterscheidungen getroffen hat, auferlegt sich das Bundesgericht eine gewisse Zurückhaltung (vgl. oben E. 2.1 und dortige Hinweise, insb. BGE 109 Ia 325 E. 4 S. 327 f.). Jedenfalls nach diesem Massstab sind keine sachlichen Gründe für eine Beteiligung der Inhaber der Bezugsrechte am Wertschwankungsrisiko ersichtlich. Wie die Vorinstanz zutreffend ausführte, kommt die vom Beschwerdegegner angeordnete Lösung praktisch einer im aktuellen Marktumfeld äusserst grosszügigen Kapitalverzinsung von knapp 5% gleich. Die Mitgliedschaft bei der Beschwerdeführerin wird in das Grundbuch eingetragen und ist folglich an das Grundstück des Mitglieds gebunden, sodass sie und die daran haftenden Bezugsrechte durch Veräusserung des Grundstücks übertragen werden können. Zudem sind die Bezugsrechte bei Liquidation der Beschwerdeführerin grundsätzlich zurückzuerstatten. Ist der Kapitaleinsatz der Mitglieder der Beschwerdeführerin bereits marktgerecht abgegolten, braucht ihnen die Gemeinde unter dem Titel von Art. 8 Abs. 1 BV keine andere und schon gar keine wahrscheinlich noch bessere Rendite zuzugestehen.</w:t>
      </w:r>
    </w:p>
    <w:p>
      <w:r>
        <w:rPr>
          <w:b/>
        </w:rPr>
        <w:t>E. 2.6</w:t>
      </w:r>
    </w:p>
    <w:p>
      <w:r>
        <w:t>Es mag zutreffen, dass die Beschwerdeführerin die Tarifverordnung und insbesondere den Preis des Bezugsrechts und die Wasserfreimenge pro Bezugsrecht bei entsprechender Entwicklung des Wasserpreises ohnehin anpassen müsste, wie die Beschwerdeführerin ausführt. Aber auch dieser Umstand stellt keinen sachlichen Grund dafür dar, unter dem Titel von Art. 8 Abs. 1 BV zugunsten der von der Beschwerdeführerin vorgeschlagenen Fassung von Art. 1.3 der Tarifverordnung von der Anordnung des Beschwerdegegners abzuweichen. Dies gilt umso mehr, als laut der Vorinstanz ein noch grosszügigerer Rabatt eine kantonalrechtlich verbotene Gewinnabschöpfung zugunsten der Inhaber der Bezugsrechte bedeuten würde und die Beschwerdeführerin nach eigener Aussage bei nicht rechtzeitiger Anpassung des Rabatts gar in eine Verlustsituation geraten könnte.</w:t>
      </w:r>
    </w:p>
    <w:p>
      <w:r>
        <w:rPr>
          <w:b/>
        </w:rPr>
        <w:t>E. 2.7</w:t>
      </w:r>
    </w:p>
    <w:p>
      <w:r>
        <w:t>Nach dem Gesagten verletzt die Anordnung des Beschwerdegegners, den Inhabern eines Bezugsrechts beim Wasserbezug einen Rabatt von Fr. 250.-- pro Jahr zuzugestehen und diesen Betrag von der Wasserrechnung abzuziehen (wobei keine "Minusbeträge" vorgetragen werden), nicht gegen Art. 8 Abs. 1 BV . Andere Verletzungen des Bundesrechts macht die Beschwerdeführerin nicht geltend und sind auch nicht ersichtlich. Das Urteil der Vorinstanz hält der bundesgerichtlichen Überprüfung stand.</w:t>
      </w:r>
    </w:p>
    <w:p>
      <w:r>
        <w:rPr>
          <w:b/>
        </w:rPr>
        <w:t>E. 3</w:t>
      </w:r>
    </w:p>
    <w:p>
      <w:r>
        <w:t>Die Beschwerde ist unbegründet und abzuweisen. Die Beschwerdeführerin trägt die Gerichtskosten ( Art. 66 Abs. 1 BGG ). Der Beschwerdegegner obsiegt in seinem amtlichen Wirkungskreis und hat damit grundsätzlich keinen Anspruch auf Parteientschädigung ( Art. 68 Abs. 3 BGG ). Es liegen keine ausserordentlichen Umstände vor, die es gebieten würden, ihm ausnahmsweise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