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249/2013 vom 19. März 2013</w:t>
      </w:r>
    </w:p>
    <w:p>
      <w:r>
        <w:t>Bundesgericht, 2013-03-19, FR</w:t>
      </w:r>
    </w:p>
    <w:p>
      <w:r>
        <w:rPr>
          <w:b/>
        </w:rPr>
        <w:t xml:space="preserve">Quelle: </w:t>
      </w:r>
      <w:r>
        <w:t>https://mcp.opencaselaw.ch/entscheid/bger_2C_249_2013</w:t>
      </w:r>
    </w:p>
    <w:p>
      <w:r>
        <w:t>FR: TF 2C 249/2013 du 19 mars 2013</w:t>
      </w:r>
    </w:p>
    <w:p>
      <w:r>
        <w:t>IT: TF 2C 249/2013 del 19 marzo 2013</w:t>
      </w:r>
    </w:p>
    <w:p>
      <w:pPr>
        <w:pStyle w:val="Heading2"/>
      </w:pPr>
      <w:r>
        <w:t>Regeste</w:t>
      </w:r>
    </w:p>
    <w:p>
      <w:r>
        <w:t>Impôt fédéral direct; détermination du for miscal (cantons Genève et Schwyz); art. 108 LIFD | Finances publiques &amp; droit fiscal</w:t>
      </w:r>
    </w:p>
    <w:p>
      <w:pPr>
        <w:pStyle w:val="Heading2"/>
      </w:pPr>
      <w:r>
        <w:t>Erwägungen</w:t>
      </w:r>
    </w:p>
    <w:p>
      <w:r>
        <w:rPr>
          <w:b/>
        </w:rPr>
        <w:t>E. 1</w:t>
      </w:r>
    </w:p>
    <w:p>
      <w:r>
        <w:t>Par décision incidente du 7 février 2013, le Juge instructeur du Tribunal administratif fédéral a refusé de suspendre la cause A-5989/2012 opposant A.X.________ et B.X.________ à l'Administration fiscale du canton de Genève et à celle du canton de Schwyz sur la détermination de leur domicile fiscal en matière d'impôt fédéral direct.</w:t>
      </w:r>
    </w:p>
    <w:p>
      <w:r>
        <w:rPr>
          <w:b/>
        </w:rPr>
        <w:t>E. 2</w:t>
      </w:r>
    </w:p>
    <w:p>
      <w:r>
        <w:t>Agissant par la voie du recours en matière de droit public, A.X.________ et B.X.________ demandent au Tribunal fédéral d'annuler la décision du 7 février 2013 et d'admettre la requête de suspension qu'ils avaient formulée le 4 décembre 2012. Ils soutiennent qu'ils subiraient un dommage irréparable au sens de l' art. 93 al. 1 let. a LTF , en ce que les autorités cantonales chargées de déterminer leur domicile fiscal en droit cantonal et communal seraient influencées par la décision rendue en matière d'impôt fédéral direct.</w:t>
      </w:r>
    </w:p>
    <w:p>
      <w:r>
        <w:rPr>
          <w:b/>
        </w:rPr>
        <w:t>E. 3.1</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Les recourants n'exposent pas et le Tribunal fédéral ne voit pas en quoi l'admission du recours permettrait d'éviter une procédure probatoire longue et coûteuse. Il y a donc lieu d'examiner si le recours est recevable en application de l' art. 93 al. 1 let. a LTF .</w:t>
      </w:r>
    </w:p>
    <w:p>
      <w:r>
        <w:rPr>
          <w:b/>
        </w:rPr>
        <w:t>E. 3.2</w:t>
      </w:r>
    </w:p>
    <w:p>
      <w:r>
        <w:t>Un préjudice irréparable au sens de l' art. 93 al. 1 let. a LTF est un dommage qui ne peut pas être réparé ultérieurement par un jugement final ou une autre décision favorable au recourant ( ATF 135 II 30 consid. 1.3.4 p. 36; 134 III 188 consid. 2.1 p. 190 et les références). La prolongation de la procédure ou un accroissement des frais de celle-ci n'est pas considéré comme un dommage irréparable ( ATF 133 II 636 consid. 2.3.1 p. 632 et les références). Il appartient au recourant d'alléguer et d'établir la possibilité que la décision incidente lui cause un dommage irréparable, à moins que celui-ci ne fasse d'emblée aucun doute ( ATF 133 III 639 loc. cit.). En l'espèce, il importe peu que les administrations fiscales cantonales concernées se fondent, à tort ou à raison, sur la décision rendue en matière d'impôt fédéral direct pour déterminer le domicile fiscal des recourants en matière d'impôt cantonal et communal, du moment que ces derniers disposent des voies de droit ordinaire pour faire contrôler la validité des décisions cantonales et obtiendront un jugement final sur la question. Ils ne subissent par conséquent pas de dommage irréparable. Le recours est par conséquent irrecevable.</w:t>
      </w:r>
    </w:p>
    <w:p>
      <w:r>
        <w:rPr>
          <w:b/>
        </w:rPr>
        <w:t>E. 4</w:t>
      </w:r>
    </w:p>
    <w:p>
      <w:r>
        <w:t>Le recours est ainsi manifestement irrecevable ( art. 108 al. 1 let. a LTF ) et doit être traité selon la procédure simplifiée de l' art. 108 LTF , sans qu'il y ait lieu d'ordonner un échange d'écritures. Succombant, les recourants doivent supporter les frais de la procédure fédérale solidairement entre eux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