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249/2008 vom 10. Juni 2008</w:t>
      </w:r>
    </w:p>
    <w:p>
      <w:r>
        <w:t>Bundesgericht, 2008-06-10, DE</w:t>
      </w:r>
    </w:p>
    <w:p>
      <w:r>
        <w:rPr>
          <w:b/>
        </w:rPr>
        <w:t xml:space="preserve">Quelle: </w:t>
      </w:r>
      <w:r>
        <w:t>https://mcp.opencaselaw.ch/entscheid/bger_2C_249_2008</w:t>
      </w:r>
    </w:p>
    <w:p>
      <w:r>
        <w:t>FR: TF 2C 249/2008 du 10 juin 2008</w:t>
      </w:r>
    </w:p>
    <w:p>
      <w:r>
        <w:t>IT: TF 2C 249/2008 del 10 giugno 2008</w:t>
      </w:r>
    </w:p>
    <w:p>
      <w:pPr>
        <w:pStyle w:val="Heading2"/>
      </w:pPr>
      <w:r>
        <w:t>Regeste</w:t>
      </w:r>
    </w:p>
    <w:p>
      <w:r>
        <w:t>-- | Öffentliche Finanzen &amp; Abgaberecht</w:t>
      </w:r>
    </w:p>
    <w:p>
      <w:pPr>
        <w:pStyle w:val="Heading2"/>
      </w:pPr>
      <w:r>
        <w:t>Erwägungen</w:t>
      </w:r>
    </w:p>
    <w:p>
      <w:r>
        <w:rPr>
          <w:b/>
        </w:rPr>
        <w:t>E. 1</w:t>
      </w:r>
    </w:p>
    <w:p>
      <w:r>
        <w:t>Die Beschwerde in öffentlich-rechtlichen Angelegenheiten dient der Rüge von Bundesrechtsverletzungen im Sinne von Art. 95 BGG . Zum Bundesrecht zählen auch die Grundsätze, die das Bundesgericht in gesetzesvertretender Rechtsprechung aus dem verfassungsmässigen Verbot der interkantonalen Doppelbesteuerung gemäss Art. 127 Abs. 3 BV hergeleitet hat. Soweit sich die Besteuerung nach kantonalem Recht richtet, prüft das Bundesgericht dessen Auslegung und Anwendung nur unter dem Gesichtswinkel der verfassungsmässigen Rechte, namentlich des Willkürverbots ( Art. 9 BV ). Hierfür gilt die qualifizierte Rügepflicht nach Art. 106 Abs. 2 BGG . Die Feststellung des Sachverhalts kann nur gerügt werden, wenn sie auf einer Rechtsverletzung im Sinne von Art. 95 BGG beruht, namentlich wenn sie offensichtlich unrichtig ist ( Art. 97 Abs. 1 BGG ). Inwiefern der angefochtene Akt Recht verletzt, ist in der Beschwerde darzulegen ( Art. 42 Abs. 2 BGG ).</w:t>
      </w:r>
    </w:p>
    <w:p>
      <w:r>
        <w:rPr>
          <w:b/>
        </w:rPr>
        <w:t>E. 2</w:t>
      </w:r>
    </w:p>
    <w:p>
      <w:r>
        <w:t>Angefochten war bei der Steuerrekurskommission II des Kantons Zürich ein Vorentscheid des kantonalen Steueramtes über die unbeschränkte Steuerpflicht ab der Steuerperiode 2001 im Kanton Zürich. Die Steuerrekurskommission wies in ihrem Entscheid vom 4. Mai 2007 den Rekurs ab, hob den Einspracheentscheid auf und wies die Angelegenheit an das kantonale Steueramt zurück. Sie erwog, das kantonale Steueramt sei zu Unrecht auf das Begehren des Beschwerdeführers um Erlass eines Vorentscheids über die Steuerpflicht eingetreten und habe nunmehr das Einspracheverfahren betreffend die Einschätzungen 2001 bis 2003 durchzuführen. Verfahrensgegenstand vor dem Vewaltungsgericht war somit allein die Frage, ob der Beschwerdeführer Anspruch auf einen Vorentscheid über die Steuerhoheit im Kanton Zürich hatte. Nur diese Frage ist vom Bundesgericht zu prüfen. Der Verfahrensgegenstand kann vor Bundesgericht nur eingeengt, nicht ausgedehnt werden.</w:t>
      </w:r>
    </w:p>
    <w:p>
      <w:r>
        <w:rPr>
          <w:b/>
        </w:rPr>
        <w:t>E. 3</w:t>
      </w:r>
    </w:p>
    <w:p>
      <w:r>
        <w:t>Bestreitet ein Steuerpflichtiger die Steuerhoheit eines Kantons, so muss zunächst in einem grundsätzlichen Entscheid über die Frage der Steuerpflicht (Steuerhoheit) befunden werden, bevor das Veranlagungsverfahren durchgeführt wird. Es ist unzulässig und verstösst gegen Art. 127 Abs. 3 BV , zu einer Ermessensveranlagung zu schreiten, obschon der Steuerpflichtige die Steuerhoheit bestritten hat. Dieser Anspruch besteht nach der Rechtsprechung des Bundesgerichts direkt auf Grund des verfassungsmässigen Verbots der interkantonalen Doppelbesteuerung ( Art. 127 Abs. 3 BV ) und ist unabhängig davon, ob das kantonale Recht ein solches Verfahren kennt oder nicht (K. Locher/P. Locher, Die Praxis der Bundessteuern, § 1 III A 1 Nr. 7, 10, 23, 24). Das Recht auf einen Vorentscheid wird nach der bundesgerichtlichen Rechtsprechung verwirkt, wenn der Steuerpflichtige sich widerspruchslos auf das Veranlagungsverfahren einlässt (Locher/Locher, a.a.O., § 1, II A 1 Nr. 23).</w:t>
      </w:r>
    </w:p>
    <w:p>
      <w:r>
        <w:rPr>
          <w:b/>
        </w:rPr>
        <w:t>E. 4.1</w:t>
      </w:r>
    </w:p>
    <w:p>
      <w:r>
        <w:t>Das Verwaltungsgericht hat in haltbarer Weise festgestellt, dass weder im Schreiben des Kantonalen Steueramtes vom 3. März 2003 noch im Brief des Steueramtes der Stadt Zürich vom 24. Juni 2003 ein (negativer) Feststellungsentscheid über die Steuerpflicht im Kanton Zürich erblickt werden kann. Das Schreiben des Kantonalen Steueramtes erging im Rahmen des Meinungsaustausches mit der aargauischen Gemeinde Oberlunkhofen und ist schon von daher eine Stellungnahme, keine Verfügung. Das geht schon daraus hervor, dass das Schreiben sich an die Behörde und nicht an den Beschwerdeführer richtete (dieser wurde lediglich mit einer Kopie bedient), der Brief weder als Verfügung bezeichnet war noch eine Rechtsmittelbelehrung enthielt und auch inhaltlich so abgefasst war, dass daraus hervorgeht, dass er lediglich die Meinung des Steuerkommissärs in der laufenden Abklärung wiedergibt ("betreffend der abzuklärenden Steuerhoheit ... möchte ich folgendes festhalten"). Es kann diesbezüglich auch auf die zutreffenden Ausführungen im Entscheid der Steuerrekurskommission II hingewiesen werden. Im Schreiben des Steueramts der Stadt Zürich vom 24. Juni 2003 kann schon deshalb kein Vorentscheid über die Steuerpflicht gesehen werden, weil das städtische Steueramt zum Erlass solcher Entscheide nicht zuständig ist.</w:t>
      </w:r>
    </w:p>
    <w:p>
      <w:r>
        <w:rPr>
          <w:b/>
        </w:rPr>
        <w:t>E. 4.2</w:t>
      </w:r>
    </w:p>
    <w:p>
      <w:r>
        <w:t>Zu prüfen bleibt, ob der Beschwerdeführer seinen Anspruch auf Vorentscheid über die Steuerhoheit verwirkt hat. Die Vorinstanz hat die Rechtsprechung des Bundesgerichts zu Art. 127 Abs. 3 BV zutreffend wiedergegeben und den grundsätzlichen Anspruch des Steuerpflichtigen auf Vorausbeurteilung der Steuerhoheitsfrage bejaht. Sie hat jedoch den Anspruch des Beschwerdeführers als verwirkt bezeichnet, nachdem dieser die Steuerhoheit des Kantons Zürich erst im Einspracheverfahren bestritten hat. In der Tat hat der Beschwerdeführer im gesamten Verfahren gegenüber den Steuerbehörden beider Kantone stets die Ansicht verfochten, dass sich sein Steuerdomizil seit dem 1. Juli 2001 im Kanton Zürich befinde und er dort unbeschränkt steuerpflichtig sei. Das Kantonale Steueramt Zürich hat ihm am 25. Mai 2005 die Steuererklärungsformulare 2001, 2002 und 2003 zugestellt und damit zu erkennen gegeben, dass es gewillt sei, die zürcherische Steuerhoheit in Anspruch zu nehmen. Der Beschwerdeführer hat darauf nicht reagiert. Weder hat er seine unbeschränkte Steuerpflicht im Kanton Zürich bestritten, noch die Steuererklärungen eingereicht. Er wurde daher am 12. Juli 2005 gemahnt. Der Beschwerdeführer verlangte daraufhin eine Fristerstreckung. Es wurde ihm mitgeteilt, Mahnfristen seien gesetzlich nicht erstreckbar. In der Folge wurde er für die Jahre 2001, 2002 und 2003 je mit einem steuerbaren Einkommen von Fr. 50'000.-- sowie einem steuerbaren Vermögen von Fr. 0.-- veranlagt. Erst mit der Einsprache gegen die Ermessensveranlagung hat der Beschwerdeführer seine Steuerpflicht im Kanton Zürich für die Jahre 2001 und 2002 bestritten und einen Vorentscheid über die Steuerpflicht verlangt. Diese Bestreitung erfolgte verspätet. Der Beschwerdeführer hätte bereits nach der Zustellung der Steuererklärungsformulare reagieren und einen Vorentscheid über die Steuerhoheit verlangen können. Er hatte dazu Anlass, nachdem er im gesamten bisherigen Verfahren gegenüber den Steuerbehörden stets die Ansicht verfochten hatte, er sei ab Juli 2001 im Kanton Zürich steuerpflichtig. Spätestens mit dem Gesuch um Fristverlängerung hat sich der Beschwerdeführer somit auf das Veranlagungsverfahren eingelassen. Er verhielt sich auch widersprüchlich, wenn er um Fristerstreckung für die Einreichung der Steuererklärung ersuchte, obschon er angeblich der Meinung war, es liege bereits ein rechtskräftiger (negativer) Steuerdomizilentscheid des Kantons Zürich vor. Wenn das Verwaltungsgericht somit die rekursrichterliche Auffassung bestätigte, wonach der Beschwerdeführer sich auf das Veranlagungsverfahren eingelassen und er den Anspruch auf Vorausbescheid verwirkt habe, hat es den bundesrechtlichen Anspruch nicht vereitelt.</w:t>
      </w:r>
    </w:p>
    <w:p>
      <w:r>
        <w:rPr>
          <w:b/>
        </w:rPr>
        <w:t>E. 5</w:t>
      </w:r>
    </w:p>
    <w:p>
      <w:r>
        <w:t>Der Entscheid des Verwaltungsgerichts verletzt mithin Bundesrecht nicht, und die Beschwerde ist abzuweisen. Bei diesem Verfahrensausgang wird der Beschwerdeführer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