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247/2015 vom 7. Dezember 2015</w:t>
      </w:r>
    </w:p>
    <w:p>
      <w:r>
        <w:t>Bundesgericht, 2015-12-07, FR</w:t>
      </w:r>
    </w:p>
    <w:p>
      <w:r>
        <w:rPr>
          <w:b/>
        </w:rPr>
        <w:t xml:space="preserve">Quelle: </w:t>
      </w:r>
      <w:r>
        <w:t>https://mcp.opencaselaw.ch/entscheid/bger_2C_247_2015</w:t>
      </w:r>
    </w:p>
    <w:p>
      <w:r>
        <w:t>FR: TF 2C 247/2015 du 7 décembre 2015</w:t>
      </w:r>
    </w:p>
    <w:p>
      <w:r>
        <w:t>IT: TF 2C 247/2015 del 7 dicembre 2015</w:t>
      </w:r>
    </w:p>
    <w:p>
      <w:pPr>
        <w:pStyle w:val="Heading2"/>
      </w:pPr>
      <w:r>
        <w:t>Regeste</w:t>
      </w:r>
    </w:p>
    <w:p>
      <w:r>
        <w:t>Révocation de l'autorisation d'établissement UE/AELE | Droit de cité et droit des étrangers</w:t>
      </w:r>
    </w:p>
    <w:p>
      <w:pPr>
        <w:pStyle w:val="Heading2"/>
      </w:pPr>
      <w:r>
        <w:t>Erwägungen</w:t>
      </w:r>
    </w:p>
    <w:p>
      <w:r>
        <w:rPr>
          <w:b/>
        </w:rPr>
        <w:t>E. 1</w:t>
      </w:r>
    </w:p>
    <w:p>
      <w:r>
        <w:t>La voie du recours en matière de droit public est ouverte contre les décisions révoquant, comme en l'espèce, une autorisation d'établissement parce qu'il existe en principe un droit au maintien de cette autorisation (cf. ATF 135 II 1 consid. 1.2.1 p. 4). En outre, en sa qualité de ressortissant portugais, le recourant peut prétendre à un titre de séjour en Suisse, en vertu de l'Accord du 21 juin 1999 entre la Confédération suisse, d'une part, et la Communauté européenne et ses Etats membres, d'autre part, sur la libre circulation des personnes (ALCP; RS 0.142.112.681). La présente cause ne tombe ainsi pas sous le coup de l' art. 83 let . c ch. 2 LTF, ni d'aucune autre clause d'irrecevabilité figurant à l' art. 83 LTF . Pour le surplus, l'arrêt attaqué est une décision finale ( art. 90 LTF ), rendue en dernière instance cantonale par un tribunal supérieur ( art. 86 al. 1 let . d et al. 2 LTF). En outre, le recours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2.1</w:t>
      </w:r>
    </w:p>
    <w:p>
      <w:r>
        <w:t>Le Tribunal fédéral se fonde sur les faits constatés par l'autorité précédente (cf. art. 105 al. 1 LTF ), à moins que ceux-ci n'aient été établis de façon manifestement inexacte - notion qui correspond à celle d'arbitraire ( ATF 136 II 304 consid. 2.4 p. 313 s.)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137 II 353 consid. 5.1 p. 356). Aucun fait nouveau ni preuve nouvelle ne peut être présenté à moins de résulter de la décision de l'autorité précédente ( art. 99 al. 1 LTF ).</w:t>
      </w:r>
    </w:p>
    <w:p>
      <w:r>
        <w:rPr>
          <w:b/>
        </w:rPr>
        <w:t>E. 2.2</w:t>
      </w:r>
    </w:p>
    <w:p>
      <w:r>
        <w:t>En l'occurrence, dans la mesure où la version des faits exposée par le recourant s'écarte et complète les faits constatés dans l'arrêt attaqué (par exemple en se référant à un "relevé Jeunesse et famille du 23.12.2013 produit en procédure"), sans qu'il soit indiqué en quoi ceux-ci seraient manifestement inexacts ou arbitraires, elle est irrecevable. L'appréciation du risque de récidive pénale sera pour le surplus abordée sous l'angle des griefs au fond (cf. infra consid. 6).</w:t>
      </w:r>
    </w:p>
    <w:p>
      <w:r>
        <w:rPr>
          <w:b/>
        </w:rPr>
        <w:t>E. 3</w:t>
      </w:r>
    </w:p>
    <w:p>
      <w:r>
        <w:t>Des mesures probatoires devant le Tribunal fédéral ne sont qu'exceptionnellement ordonnées dans une procédure de recours ( ATF 136 II 101 consid. 2 p. 104; arrêt 2D_54/2014 du 23 janvier 2015 consid. 3), dès lors que le Tribunal fédéral conduit en principe son raisonnement juridique sur la base des faits établis par l'autorité précédente (cf. supra consid. 2.1). En l'occurrence, le recourant requiert devant la Cour de céans la mise en oeuvre d'une expertise psychiatrique. Il ne sera pas donné suite à cette requête, car il n'y a aucun élément dont on puisse inférer des circonstances exceptionnelles justifiant une mesure d'instruction devant le Tribunal fédéral, ce que le recourant ne démontre du reste nullement.</w:t>
      </w:r>
    </w:p>
    <w:p>
      <w:r>
        <w:rPr>
          <w:b/>
        </w:rPr>
        <w:t>E. 4</w:t>
      </w:r>
    </w:p>
    <w:p>
      <w:r>
        <w:t>Dans un grief de nature formelle qu'il convient d'examiner à titre préliminaire, le recourant se plaint de la violation de son droit d'être entendu. Il reproche au Tribunal cantonal d'avoir refusé d'ordonner une expertise psychiatrique sur sa personne et fait valoir que ce moyen de preuve aurait permis aux juges cantonaux d'apprécier différemment le risque de récidive.</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Ce droit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 5.3 p. 236 s.; 134 I 140 consid. 5.3 p. 148).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w:t>
      </w:r>
    </w:p>
    <w:p>
      <w:r>
        <w:rPr>
          <w:b/>
        </w:rPr>
        <w:t>E. 4.2</w:t>
      </w:r>
    </w:p>
    <w:p>
      <w:r>
        <w:t>En l'occurrence, le Tribunal cantonal a expliqué que, au vu de toutes les circonstances de l'espèce, notamment de la gravité des actes commis par le recourant, de son défaut de compassion pour la victime, de son absence de regrets et de son attitude ambigüe au cours de l'enquête, le risque de récidive était suffisamment établi, ce qui rendait superflue la mise en place de l'expertise psychiatrique requise par l'intéressé. Les juges cantonaux se sont dûment fondés sur le jugement pénal du 27 juin 2012, sur le jugement sur appel du 9 novembre 2012 et sur les pièces du dossier. Le Tribunal cantonal n'est ainsi pas tombé dans l'arbitraire en considérant que l'ensemble de ces éléments lui permettaient de renoncer à ordonner une expertise psychiatrique pour évaluer le risque de récidive du recourant. Le grief de violation du droit d'être entendu doit être rejeté.</w:t>
      </w:r>
    </w:p>
    <w:p>
      <w:r>
        <w:rPr>
          <w:b/>
        </w:rPr>
        <w:t>E. 5</w:t>
      </w:r>
    </w:p>
    <w:p>
      <w:r>
        <w:t>Sur le fond, le litige porte sur le point de savoir si, compte tenu de la condamnation pénale que le recourant a subie, la révocation de son autorisation d'établissement est conforme au droit.</w:t>
      </w:r>
    </w:p>
    <w:p>
      <w:r>
        <w:rPr>
          <w:b/>
        </w:rPr>
        <w:t>E. 5.1</w:t>
      </w:r>
    </w:p>
    <w:p>
      <w:r>
        <w:t>La loi sur les étrangers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voir aussi arrêt 2C_473/2011 du 17 octobre 2011 consid. 2.1). Dès lors qu'il constitue une limite à la libre circulation des personnes, le retrait de l'autorisation d'établissement doit néanmoins être conforme aux exigences de l'ALCP (arrêt 2C_565/2013 du 6 décembre 2013 consid. 3.3; cf. infra consid. 6).</w:t>
      </w:r>
    </w:p>
    <w:p>
      <w:r>
        <w:rPr>
          <w:b/>
        </w:rPr>
        <w:t>E. 5.2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disposition à laquelle renvoie l'art. 63 al. 1 let. a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ait été prononcée avec un sursis complet, un sursis partiel ou sans sursis ( ATF 139 I 145 consid. 2.1 p. 147; 139 II 65 consid. 5.1 p. 72; arrêt 2C_565/2013 du 6 décembre 2013 consid. 3.2).</w:t>
      </w:r>
    </w:p>
    <w:p>
      <w:r>
        <w:rPr>
          <w:b/>
        </w:rPr>
        <w:t>E. 5.3</w:t>
      </w:r>
    </w:p>
    <w:p>
      <w:r>
        <w:t>Le recourant ayant été condamné à une peine privative de liberté de trois ans, il remplit les conditions de l'art. 62 let. b LEtr, de sorte qu'une révocation de son autorisation d'établissement en application de l'art. 63 al. 1 let. a LEtr est justifiée sans qu'il soit nécessaire de vérifier au surplus si les conditions d'application de l'art. 63 al. 1 let. b LEtr sont également remplies.</w:t>
      </w:r>
    </w:p>
    <w:p>
      <w:r>
        <w:rPr>
          <w:b/>
        </w:rPr>
        <w:t>E. 6</w:t>
      </w:r>
    </w:p>
    <w:p>
      <w:r>
        <w:t>Comme l'ensemble des droits octroyés par l'ALCP, le droit de demeurer en Suisse ne peut être limité que par des mesures d'ordre ou de sécurité publics, au sens de l' art. 5 al. 1 annexe I ALCP (cf. ATF 139 II 121 consid. 5.3 p. 125; arrêt 2C_328/2015 du 2 novembre 2015 consid. 3.2).</w:t>
      </w:r>
    </w:p>
    <w:p>
      <w:r>
        <w:rPr>
          <w:b/>
        </w:rPr>
        <w:t>E. 6.1</w:t>
      </w:r>
    </w:p>
    <w:p>
      <w:r>
        <w:t>Conformément à la jurisprudence,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d'une certaine gravité pour l'ordre public (cf. ATF 139 II 121 consid. 5.3 p. 125 s. et les références citées; ATF 136 II 5 consid. 4.2 p. 20). Selon les circonstances, la jurisprudence admet néanmoins que le seul fait du comportement passé de la personne concernée puisse réunir les conditions de pareille menace actuelle ( ATF 130 II 176 consid. 3.4.1 p. 184). Dans ce cas,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arrêt 2C_319/2015 du 10 septembre 2015 consid. 5.3).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2C_238/2012 du 30 juillet 2012 consid. 2.3 et 2C_492/2011 du 6 décembre 2011 consid. 4.1).</w:t>
      </w:r>
    </w:p>
    <w:p>
      <w:r>
        <w:rPr>
          <w:b/>
        </w:rPr>
        <w:t>E. 6.2</w:t>
      </w:r>
    </w:p>
    <w:p>
      <w:r>
        <w:t>En l'espèce, le recourant a été condamné en particulier pour des atteintes à l'intégrité sexuelle. En outre, il ressort de l'arrêt entrepris que l'intéressé a attenté à l'intégrité sexuelle de son ex-compagne de manière répétée, sur une période d'environ trois mois, au cours desquels il a exercé sur celle-ci des pressions physiques et psychologiques. Il ne s'est donc pas agi d'un acte isolé. Compte tenu de la gravité de ces agissements, il y a lieu d'être spécialement rigoureux dans l'évaluation du risque de récidive. Le Tribunal cantonal n'a pas méconnu l'existence d'une menace réelle, actuelle et d'une certaine gravité affectant un intérêt fondamental de la société. Il n'a pas fondé le risque de récidive uniquement sur la condamnation pénale de l'intéressé, mais sur l'ensemble des circonstances. Les juges cantonaux ont ainsi constaté que le recourant ne semblait pas avoir pris conscience de la gravité de ses actes. En particulier, ils ont relevé que la persistance des actes délictueux pendant plusieurs mois en 2009, ainsi que "les menaces proférées l'année suivante de repasser à l'acte [...] montrent que, durant toute cette période, l'intéressé ne s'est absolument pas rendu compte de la portée de ses agissements". Il faut aussi admettre, avec le Tribunal cantonal, que l'attitude ambigüe adoptée par le recourant au cours de l'enquête (admission des faits, rétractation de ceux-ci, dénonciation de fausses déclarations de son ex-compagne) est un comportement équivoque qui ne contribue pas à le rendre digne de confiance et qui met en évidence l'absence de prise de conscience de l'intéressé. Ce dernier n'a en outre jamais exprimé de regrets ni n'a formulé d'excuses à l'adresse de son ancienne compagne. Le recourant reproche aux juges cantonaux de n'avoir pas tenu compte du fait qu'il n'a plus commis d'infraction depuis les années 2009-2010. Force est toutefois de constater que cet élément a dûment été pris en considération (cf. arrêt attaqué, p. 8), mais que l'instance précédente a considéré qu'il ne supprimait pas le risque de récidive du recourant. Au demeurant, cette argumentation doit être relativisée du moment que, entre 2013 et 2014 (cf. art. 105 al. 2 LTF ), l'intéressé n'a fait qu'exécuter la peine prononcée à son encontre, ce qui le protégeait de certaines tentations. D'après la jurisprudence, un comportement adéquat durant l'exécution de sa peine est généralement attendu de tout délinquant (arrêt 2C_410/2015 du 29 octobre 2015 consid. 3.2). Le régime de semi-détention et de travail externe, ainsi que la libération conditionnelle dont se prévaut l'intéressé ne sont en outre pas décisifs pour apprécier sa dangerosité (cf. arrêts 2C_1071/2013 du 6 juin 2014 consid. 4.2.2 et 2C_401/2012 du 18 septembre 2012 consid. 3.5.4). Durant ces phases, les autorités pénales ont coutume de maintenir un certain contrôle sur le condamné, en assortissant ces périodes de règles de conduite et une récidive serait susceptible de déboucher immédiatement sur la révocation de la mesure (arrêt 2C_923/2012 du 26 janvier 2013 consid. 4.3.4). En résumé, les faits pour lesquels le recourant a été condamné sont sérieux, le bien juridique menacé est important et le risque de récidive - qui doit être apprécié avec rigueur - est suffisamment établi. Au vu de l'ensemble des circonstances, en considérant que l'intéressé constituait une menace actuelle et réelle d'une certaine gravité pour l'ordre public suisse, et en confirmant sur cette base la révocation de son autorisation d'établissement, le Tribunal cantonal n'a pas violé l' art. 5 al. 1 annexe I ALCP .</w:t>
      </w:r>
    </w:p>
    <w:p>
      <w:r>
        <w:rPr>
          <w:b/>
        </w:rPr>
        <w:t>E. 7</w:t>
      </w:r>
    </w:p>
    <w:p>
      <w:r>
        <w:t>Reste à s'interroger sur la proportionnalité de la mesure de révocation, également contestée par le recourant, qui invoque à ce propos l'art. 96 LEtr et, sous l'angle du droit au respect de sa vie familiale, l' art. 8 CEDH . A ce sujet, l' art. 13 CEDH mentionné par l'intéressé concerne le droit à un recours effectif et n'est donc pas pertinent.</w:t>
      </w:r>
    </w:p>
    <w:p>
      <w:r>
        <w:rPr>
          <w:b/>
        </w:rPr>
        <w:t>E. 7.1</w:t>
      </w:r>
    </w:p>
    <w:p>
      <w:r>
        <w:t>Dès lors que l'examen de la proportionnalité de la mesure imposé par l'art. 96 LEtr se confond avec celui prévu par l' art. 8 par. 2 CEDH (cf. arrêts 2C_526/2015 du 15 novembre 2015 consid. 4.1 et 2C_117/2012 du 11 juin 2012 consid. 4.5.1), il y a lieu de procéder à cet examen (cf. infra consid. 7.2 et 7.3) sans qu'il soit nécessaire d'établir si le recourant peut invoquer l' art. 8 par. 1 CEDH en lien avec la relation qu'il entretient avec sa fille. Cette dernière question paraît au demeurant incertaine, étant donné qu'il a été constaté par le Tribunal cantonal, d'une manière qui lie le Tribunal fédéral ( art. 105 al. 1 LTF ), que le lien entre l'intéressé et sa fille n'est pas particulièrement fort et que le recourant n'a pas fait preuve en Suisse d'un comportement irréprochable (voir ATF 140 I 145 consid. 3.2 p. 147 et les arrêts cités).</w:t>
      </w:r>
    </w:p>
    <w:p>
      <w:r>
        <w:rPr>
          <w:b/>
        </w:rPr>
        <w:t>E. 7.2</w:t>
      </w:r>
    </w:p>
    <w:p>
      <w:r>
        <w:t>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(cf. ATF 139 I 16 consid. 2.2.1 p. 19; 135 II 377 consid. 4.3 p. 381; arrêt 2C_170/2015 du 10 septembre 2015 consid. 4.1). Quand la mesure de révocation est prononcée en raison de la commission d'une infraction, la peine infligée par le juge pénal est le premier critère servant à évaluer la gravité de la faute et à procéder à la pesée des intérêts en présence (arrêts 2D_19/2014 du 2 octobre 2014 consid. 3.3 et 2C_121/2014 du 17 juillet 2014 consid. 5.1).</w:t>
      </w:r>
    </w:p>
    <w:p>
      <w:r>
        <w:rPr>
          <w:b/>
        </w:rPr>
        <w:t>E. 7.3</w:t>
      </w:r>
    </w:p>
    <w:p>
      <w:r>
        <w:t>En l'occurrence, il est établi que le recourant est arrivé en Suisse en 2003, que sa fille et une partie de sa famille vivent en Suisse et qu'il ne fait pas l'objet de poursuites. A juste titre, le Tribunal cantonal a contrebalancé ces éléments avec le fait que le recourant a été condamné à trois ans de privation de liberté notamment pour des actes portant atteinte à l'intégrité sexuelle, soit à un bien juridique particulièrement important (cf. ATF 137 II 297 consid. 3.3 p. 303). Concernant les liens de l'intéressé avec sa fille, les juges cantonaux ont constaté que ceux-ci ne sont pas particulièrement forts, étant donné que le recourant n'a pas l'autorité parentale sur son enfant et que le droit de visite dont il dispose est fortement restreint, étant limité à deux rencontres mensuelles exercées par l'intermédiaire d'un Point Rencontre. De plus, comme le relève l'arrêt entrepris, la distance séparant la Suisse du Portugal ne constitue pas un obstacle insurmontable excluant d'emblée toute possibilité d'exercer ce droit de visite en cas de retour du recourant dans son pays d'origine. A ce sujet, l'intéressé allègue encore que, en cas de rejet du recours, il pourrait faire l'objet d'une "décision d'interdiction d'entrée en Suisse prononcée par le SEM" qui l'empêcherait de se rendre en Suisse pour voir sa fille. Cependant, dès lors qu'en l'état le recourant ne fait l'objet d'aucune mesure d'interdiction d'entrée, il n'y a pas lieu de se demander si, dans l'hypothèse où elle était prononcée, une telle mesure serait de nature à porter atteinte aux droits invoqués par l'intéressé. Le Tribunal fédéral n'est pas là pour trancher des questions abstraites. Finalement, la réintégration du recourant dans son pays d'origine ne devrait pas poser de problèmes, étant donné qu'il est jeune et en bonne santé et qu'il dispose toujours d'attaches au Portugal, pays dans lequel il est né et a grandi, dont il maîtrise la langue et où il retourne régulièrement pour voir ses proches. Compte tenu de l'ensemble des circonstances, en particulier de la gravité des infractions commises, il n'apparaît pas qu'en faisant primer l'intérêt public à éloigner le recourant sur l'intérêt privé de celui-ci à pouvoir vivre en Suisse, le Tribunal cantonal ait méconnu les art. 96 LEtr et 8 par. 2 CEDH.</w:t>
      </w:r>
    </w:p>
    <w:p>
      <w:r>
        <w:rPr>
          <w:b/>
        </w:rPr>
        <w:t>E. 7.4</w:t>
      </w:r>
    </w:p>
    <w:p>
      <w:r>
        <w:t>Sans en déduire expressément un droit, le recourant fait référence à l'art. 3 de la Convention du 20 novembre 1989 relative aux droits de l'enfant (ci-après: CDE; RS 0.107). La CDE n'accorde ni à l'enfant ni à ses parents un droit à la réunion de la famille ou une prétention directe à l'obtention d'une autorisation de séjour (cf. ATF 136 I 285 consid. 5.2 p. 287; 135 I 153 consid. 2.2.2 p. 156 s.). Au demeurant, les griefs qui, comme en l'espèce, tendent à reprocher à l'autorité précédente de n'avoir pas suffisamment pris en considération les intérêts de l'enfant, reviennent à se plaindre d'une mauvaise pesée des intérêts en présence et se confondent par conséquent avec les moyens tirés de la violation de l'art. 96 LEtr et 8 par. 2 CEDH (cf. ATF 136 I 285 consid. 5.2 p. 287).</w:t>
      </w:r>
    </w:p>
    <w:p>
      <w:r>
        <w:rPr>
          <w:b/>
        </w:rPr>
        <w:t>E. 8</w:t>
      </w:r>
    </w:p>
    <w:p>
      <w:r>
        <w:t>Les considérants qui précèdent conduisent au rejet du recours dans la mesure où il est recevable. Les frais seront mis à la charge du recourant, qui succombe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