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2C_243/2018 vom 14. März 2018</w:t>
      </w:r>
    </w:p>
    <w:p>
      <w:r>
        <w:t>Bundesgericht, 2018-03-14, FR</w:t>
      </w:r>
    </w:p>
    <w:p>
      <w:r>
        <w:rPr>
          <w:b/>
        </w:rPr>
        <w:t xml:space="preserve">Quelle: </w:t>
      </w:r>
      <w:r>
        <w:t>https://mcp.opencaselaw.ch/entscheid/bger_2C_243_2018</w:t>
      </w:r>
    </w:p>
    <w:p>
      <w:r>
        <w:t>FR: TF 2C_243/2018 du 14 mars 2018</w:t>
      </w:r>
    </w:p>
    <w:p>
      <w:r>
        <w:t>IT: TF 2C_243/2018 del 14 marzo 2018</w:t>
      </w:r>
    </w:p>
    <w:p>
      <w:pPr>
        <w:pStyle w:val="Heading2"/>
      </w:pPr>
      <w:r>
        <w:t>Erwägungen</w:t>
      </w:r>
    </w:p>
    <w:p>
      <w:r>
        <w:rPr>
          <w:b/>
        </w:rPr>
        <w:t>E. 1</w:t>
      </w:r>
    </w:p>
    <w:p>
      <w:r>
        <w:t>Par jugement du 7 mars 2018, le Juge unique du Tribunal administratif du canton de Berne a rejeté dans la mesure où il est recevable le recours déposé par X.________, ressortissant algérien, contre le jugement du 27 février 2018 du Tribunal des mesures de contrainte du canton de Berne déclarant irrecevable la demande de levée de la détention en vue de renvoi déposée plus d'un mois (art. 80 al. 5 LEtr) après l'examen de la légalité de sa détention.</w:t>
      </w:r>
    </w:p>
    <w:p>
      <w:r>
        <w:rPr>
          <w:b/>
        </w:rPr>
        <w:t>E. 2</w:t>
      </w:r>
    </w:p>
    <w:p>
      <w:r>
        <w:t>Le 8 mars 2018, X.________ a adressé au Tribunal fédéral un courrier expliquant qu'il souhaite faire recours contre le jugement du 7 mars 2018. Il affirme avoir quitté la Suisse en septembre 2016.</w:t>
      </w:r>
    </w:p>
    <w:p>
      <w:r>
        <w:rPr>
          <w:b/>
        </w:rPr>
        <w:t>E. 3</w:t>
      </w:r>
    </w:p>
    <w:p>
      <w:r>
        <w:t>Le présent recours ne peut porter que sur la question de l'irrecevabilité de la demande de mise en liberté en raison de son dépôt tardif.</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recourant ne formule ni griefs ni conclusions à l'égard de l'irrecevabilité.</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