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2C_242/2022 vom 22. März 2022</w:t>
      </w:r>
    </w:p>
    <w:p>
      <w:r>
        <w:t>Bundesgericht, 2022-03-22, FR</w:t>
      </w:r>
    </w:p>
    <w:p>
      <w:r>
        <w:rPr>
          <w:b/>
        </w:rPr>
        <w:t xml:space="preserve">Quelle: </w:t>
      </w:r>
      <w:r>
        <w:t>https://mcp.opencaselaw.ch/entscheid/bger_2C_242_2022</w:t>
      </w:r>
    </w:p>
    <w:p>
      <w:r>
        <w:t>FR: TF 2C_242/2022 du 22 mars 2022</w:t>
      </w:r>
    </w:p>
    <w:p>
      <w:r>
        <w:t>IT: TF 2C_242/2022 del 22 marzo 2022</w:t>
      </w:r>
    </w:p>
    <w:p>
      <w:pPr>
        <w:pStyle w:val="Heading2"/>
      </w:pPr>
      <w:r>
        <w:t>Erwägungen</w:t>
      </w:r>
    </w:p>
    <w:p>
      <w:r>
        <w:rPr>
          <w:b/>
        </w:rPr>
        <w:t>E. 1</w:t>
      </w:r>
    </w:p>
    <w:p>
      <w:r>
        <w:t>Le 12 octobre 2021, la Commission d'impôts des personnes morales du canton du Valais a rendu une décision concernant l'impôt fédéral direct, cantonal et communal pour la période fiscale 2014 de la société A.________ SA, dont le siège est à U.________ (ci-après: la contribuable).</w:t>
      </w:r>
    </w:p>
    <w:p>
      <w:r>
        <w:t>Le 8 novembre 2021, la contribuable a déposé un recours, qu'elle a complété le 25 novembre 2021, auprès de la Commission cantonale de recours en matière fiscale du canton du Valais contre la décision rendue le 12 octobre 2021 par la Commission d'impôts des personnes morales du canton du Valais.</w:t>
      </w:r>
    </w:p>
    <w:p>
      <w:r>
        <w:t>Par courrier recommandé du 23 décembre 2021, le Secrétariat de la Commission cantonale de recours en matière fiscale a demandé à la contribuable de verser, dans un délai échéant au 24 janvier 2022, une avance de frais de 500 fr. au moyen d'un bulletin de versement annexé, à titre de sûretés en garantie des frais judiciaires présumés, sous peine d'irrecevabilité. Ce courrier a été retourné avec la mention « Non réclamé ».</w:t>
      </w:r>
    </w:p>
    <w:p>
      <w:r>
        <w:t>Le 13 janvier 2022, le Secrétariat de la Commission cantonale de recours en matière fiscale a renvoyé à la contribuable le courrier du 23 décembre 2021 par courrier A avec les indications suivantes: « notre écriture du 23 décembre 2021 vous a [...] été valablement notifiée le dernier jour du délai de garde postale ».</w:t>
      </w:r>
    </w:p>
    <w:p>
      <w:r>
        <w:t>Le montant de l'avance de frais n'a pas été payé dans le délai imparti.</w:t>
      </w:r>
    </w:p>
    <w:p>
      <w:r>
        <w:t>Par décision du 6 février 2022, le Président de la Commission cantonale de recours en matière fiscale a déclaré le recours, irrecevable faute de paiement de l'avance de frais dans le délai imparti.</w:t>
      </w:r>
    </w:p>
    <w:p>
      <w:r>
        <w:rPr>
          <w:b/>
        </w:rPr>
        <w:t>E. 2</w:t>
      </w:r>
    </w:p>
    <w:p>
      <w:r>
        <w:t>Agissant par la voie du recours en matière de droit public, la contribuable demande au Tribunal fédéral, sous suite de frais et dépens, d'annuler la décision rendue le 6 février 2022 par le Président de la Commission cantonale de recours en matière fiscale du canton du Valais. Elle se plaint de l'établissement inexact des faits ainsi que de la violation des règles relatives à la notification viciée et des règles relatives à la restitution d'un délai.</w:t>
      </w:r>
    </w:p>
    <w:p>
      <w:r>
        <w:rPr>
          <w:b/>
        </w:rPr>
        <w:t>E. 3.1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s.; 332 consid. 2.1).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 2C_519/2021 du 11 novembre 2021 consid. 4.1 et les nombreuses références citées).</w:t>
      </w:r>
    </w:p>
    <w:p>
      <w:r>
        <w:rPr>
          <w:b/>
        </w:rPr>
        <w:t>E. 3.2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(ou communal) en tant que tel. Il est néanmoins possible de faire valoir que l'application du droit cantonal (ou communal) consacre une violation du droit fédéral, en particulier qu'elle est arbitraire au sens de l' art. 9 Cst. ou contraire à un autre droit constitutionnel ( ATF 145 I 108 consid. 4.4.1 et l'arrêt cité).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w:t>
      </w:r>
    </w:p>
    <w:p>
      <w:r>
        <w:rPr>
          <w:b/>
        </w:rPr>
        <w:t>E. 4.1</w:t>
      </w:r>
    </w:p>
    <w:p>
      <w:r>
        <w:t>En l'espèce, la recourante soutient que la demande d'avance de frais a été notifiée à son ancienne adresse bien que l'autorité intimée disposait de son adresse exacte. Elle ne se réfère toutefois à aucune pièce de la procédure fiscale cantonale. Elle n'expose pas non plus, conformément aux exigences accrues de l' art. 106 al. 2 LTF , en quoi l'instance précédente aurait appliqué de manière arbitraire le droit de procédure cantonal, en particulier en lien avec la maxime inquisitoire, en s'abstenant à tort, selon elle, d'instruire la question du dépôt d'un avis dans la boîte aux lettres, ainsi que la question de savoir si elle avait bel et bien désigné un représentant, fait suivre son courrier ou donné les instructions nécessaires. Il n'est par conséquent pas possible de compléter les faits retenus dans la décision attaquée ni même de s'en écarter.</w:t>
      </w:r>
    </w:p>
    <w:p>
      <w:r>
        <w:rPr>
          <w:b/>
        </w:rPr>
        <w:t>E. 4.2</w:t>
      </w:r>
    </w:p>
    <w:p>
      <w:r>
        <w:t>Dans ces conditions, le grief de la recourante relatif à l'éventuelle notification viciée de la demande d'avance de frais ne peut pas être examiné parce qu'il repose sur des faits qui ne ressortent pas de la décision attaquée ( art. 105 al. 1 LTF ).</w:t>
      </w:r>
    </w:p>
    <w:p>
      <w:r>
        <w:rPr>
          <w:b/>
        </w:rPr>
        <w:t>E. 4.3</w:t>
      </w:r>
    </w:p>
    <w:p>
      <w:r>
        <w:t>La restitution d'un délai de paiement de l'avance de frais est régi en l'espèce par le droit cantonal de procédure tant en matière d'impôt fédéral direct qu'en matière d'impôt cantonal et communal. Il s'ensuit que le grief que formule la recourante au sujet de la restitution du délai de versement de l'avance de frais ne répond pas aux exigences accrues de motivation de l' art. 106 al. 2 LTF en ce qu'il n'expose pas concrètement quelle disposition du droit cantonal aurait été appliquée de manière arbitraire par l'instance précédente.</w:t>
      </w:r>
    </w:p>
    <w:p>
      <w:r>
        <w:rPr>
          <w:b/>
        </w:rPr>
        <w:t>E. 5</w:t>
      </w:r>
    </w:p>
    <w:p>
      <w:r>
        <w:t>Dépourvu de motivation conforme aux art. 42 al. 2 et 106 al. 2 LTF, le présent recours est ainsi manifestement irrecevable ( art. 108 al. 1 let. b LTF ) et doit être traité selon la procédure simplifiée de l' art. 108 LTF , sans qu'il y ait lieu d'ordonner un échange d'écritures.</w:t>
      </w:r>
    </w:p>
    <w:p>
      <w:r>
        <w:t>Succombant la recourante doit supporter les frais de justice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