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241/2010 vom 3. August 2010</w:t>
      </w:r>
    </w:p>
    <w:p>
      <w:r>
        <w:t>Bundesgericht, 2010-08-03, DE</w:t>
      </w:r>
    </w:p>
    <w:p>
      <w:r>
        <w:rPr>
          <w:b/>
        </w:rPr>
        <w:t xml:space="preserve">Quelle: </w:t>
      </w:r>
      <w:r>
        <w:t>https://mcp.opencaselaw.ch/entscheid/bger_2C_241_2010</w:t>
      </w:r>
    </w:p>
    <w:p>
      <w:r>
        <w:t>FR: TF 2C 241/2010 du 3 août 2010</w:t>
      </w:r>
    </w:p>
    <w:p>
      <w:r>
        <w:t>IT: TF 2C 241/2010 del 3 agosto 2010</w:t>
      </w:r>
    </w:p>
    <w:p>
      <w:pPr>
        <w:pStyle w:val="Heading2"/>
      </w:pPr>
      <w:r>
        <w:t>Regeste</w:t>
      </w:r>
    </w:p>
    <w:p>
      <w:r>
        <w:t>Handänderungssteuer | Öffentliche Finanzen &amp; Abgaberecht</w:t>
      </w:r>
    </w:p>
    <w:p>
      <w:pPr>
        <w:pStyle w:val="Heading2"/>
      </w:pPr>
      <w:r>
        <w:t>Erwägungen</w:t>
      </w:r>
    </w:p>
    <w:p>
      <w:r>
        <w:rPr>
          <w:b/>
        </w:rPr>
        <w:t>E. 1</w:t>
      </w:r>
    </w:p>
    <w:p>
      <w:r>
        <w:t>Das angefochtene Urteil des Steuergerichts ist ein Entscheid einer letzten kantonalen Instanz ( Art. 86 Abs. 1 lit. d und Art. 86 Abs. 2 BGG ; § 214 Abs. 3 und § 216 Abs. 2 i.V.m. § 164bis des Gesetzes vom 1. Dezember 1985 über die Staats- und Gemeindesteuern des Kantons Solothurn [StG/SO]) und betrifft eine Angelegenheit des öffentlichen Rechts ( Art. 82 lit. a BGG ). Ein Ausschlussgrund gemäss Art. 83 BGG liegt nicht vor, weshalb es der Beschwerde in öffentlich-rechtlichen Angelegenheiten unterliegt (vgl. Art. 82 ff. BGG ). Die Beschwerdeführerin ist durch das angefochtene Erkenntnis im erforderlichen Ausmass betroffen und zur Beschwerde befugt ( Art. 89 Abs. 1 BGG ). Auf ihre form- und fristgerecht eingereichte Beschwerde kann daher grundsätzlich eingetreten werden. Nicht eingetreten werden kann auf die Beschwerde allerdings, soweit damit auch die Aufhebung des Einspracheentscheids des kantonalen Steueramtes beantragt wird. Dieser ist durch das Urteil des Steuergerichts ersetzt worden (Devolutiveffekt) und gilt inhaltlich als mitangefochten ( BGE 134 II 142 E. 1.4 S. 144).</w:t>
      </w:r>
    </w:p>
    <w:p>
      <w:r>
        <w:rPr>
          <w:b/>
        </w:rPr>
        <w:t>E. 2.1</w:t>
      </w:r>
    </w:p>
    <w:p>
      <w:r>
        <w:t>Die Beschwerdeführerin rügt nicht (mehr), dass die käufliche Übernahme der Aktienmehrheit an der Y._______ AG nicht der Handänderungssteuer unterliege. Sie bringt auch nicht vor, der Verkehrswert der Liegenschaften sei falsch bemessen worden (vgl. § 210 StG /SO). Ebensowenig wendet sie ein, das Steuergesetz sehe die reformatio in peius nicht vor (vgl. § 151 Abs. 1 i.V.m. § 216 Abs. 2 StG /SO). Sie macht bloss geltend, das Vorgehen der kantonalen Behörden verstosse gegen Treu und Glauben ( Art. 5 Abs. 3 und Art. 9 BV ) und die Vornahme einer reformatio in peius sei unter den gegebenen Umständen bundesrechtswidrig.</w:t>
      </w:r>
    </w:p>
    <w:p>
      <w:r>
        <w:rPr>
          <w:b/>
        </w:rPr>
        <w:t>E. 2.2</w:t>
      </w:r>
    </w:p>
    <w:p>
      <w:r>
        <w:t>Das Steuergericht hat die allgemeinen Voraussetzungen, unter denen eine Person im Vertrauen auf - selbst unrichtige - behördliche Auskünfte und Zusicherungen Schutz beanspruchen kann, zutreffend und vollständig wiedergegeben (E. 4 des angefochtenen Entscheids; vgl. BGE 129 I 161 E. 4.1 S. 170; 129 II 361 E. 7.1 S. 381, je mit weiteren Hinweisen). Es hat weiter zutreffend darauf hingewiesen, dass keines der erwähnten Schreiben (mit Ausnahme der Rechnung vom 19. Dezember 2007, die zugleich die Veranlagung darstellte) an die Beschwerdeführerin gerichtet war, dass der Adressat des Schreibens vom 3. Juli 2002 am Kaufgeschäft nicht beteiligt war, dass dieses zudem nach der in diesem Schreiben genannten Frist abgeschlossen wurde und dass die Beschwerdeführerin gestützt auf ihr erteilte Auskünfte oder Zusicherungen keine nicht mehr rückgängig zu machenden, ungünstigen Dispositionen getroffen hat. Soweit die Beschwerdeführerin vorbringt, sie habe gestützt auf das Schreiben der Steuerverwaltung an die Amtsschreiberei Olten-Gösgen vom 17. Dezember 2007, in dem ein massgebender Verkehrswert der Liegenschaften von Fr. 10 Mio. genannt worden sei, Einsprache erhoben und diese später nicht mehr rechtswirksam zurückziehen können (vgl. § 150 Abs. 4 StG /SO), widerspricht sie sich selbst: In ihrer Einsprache vom 18. Januar 2008 und in einem zweiten Schreiben an die kantonale Steuerverwaltung vom gleichen Tag hat sie sogar ausdrücklich darauf aufmerksam gemacht, dass ihr das Schreiben der Steuerverwaltung vom 17. Dezember 2007 nicht vorliege und sie dieses nicht kenne. Da darin überdies auf den damals als massgebend erachteten Verkehrswert von Fr. 10 Mio. abgestellt wurde und die Beschwerdeführerin nun eben diesen Wert für sich beansprucht, ist nicht einsichtig, weshalb ihr die darauf basierende Veranlagung vom 19. Dezember 2007 Anlass zu einer nachteiligen Disposition (Einspracheerhebung) hätte geben sollen. Schliesslich ergibt sich aus dem Gesetz (§§ 150 Abs. 4 und 151 Abs. 1 StG/SO) selber, dass eine Veranlagung (hier die Rechnung der Amtsschreiberei vom 19. Dezember 2007), gegen die sich der Steuerpflichtige mit einer Einsprache zur Wehr setzt, keine Vertrauensgrundlage abgibt. Das Steuergericht hat zutreffend dargelegt (E. 5 und 6 des angefochtenen Urteils), dass die kumulativ erforderlichen Voraussetzungen zum Schutz des Vertrauens in behördliche Zusicherungen nicht vorliegen, was im Wesentlichen auch die Beschwerdeführerin nicht in Abrede stellt. Die diesbezüglichen Ausführungen des Steuergerichts brauchen nicht wiederholt zu werden. Es genügt, auf sie zu verweisen. Nachzutragen bleibt in diesem Zusammenhang bloss, dass dem öffentlichen Interesse an einer gesetzeskonformen Besteuerung ein besonderes Gewicht zukommt. Schutz in berechtigtem Vertrauen auf eine vom Gesetz abweichende Behandlung kann deshalb im Steuerrecht nur beanspruchen, wer die von der Rechtsprechung umschriebenen Voraussetzungen klar und eindeutig erfüllt (vgl. Urteil 2A.92/1999 vom 18. Januar 2000 publ. in: ASA 70 163 E. 4a S. 168). Daran gebricht es hier offenkundig.</w:t>
      </w:r>
    </w:p>
    <w:p>
      <w:r>
        <w:rPr>
          <w:b/>
        </w:rPr>
        <w:t>E. 2.3</w:t>
      </w:r>
    </w:p>
    <w:p>
      <w:r>
        <w:t>Die Beschwerdeführerin sieht denn auch mehr im Zusammenwirken verschiedener Umstände als in den von der Rechtsprechung entwickelten Voraussetzungen einen Grund, weshalb sie nach Treu und Glauben auf der Basis eines Verkehrswertes von Fr. 10 Mio. zu veranlagen sei. Zwar ist es verständlich, dass sie annahm oder hoffte, dass diese für das bloss zwei Monate zuvor erfolgte Kaufgeschäft herangezogene Bemessungsgrundlage auch für ihre Besteuerung Mass geben werde (soweit sie denn überhaupt mit einer Besteuerung rechnete). Eine derartige Hoffnung begründet aber noch keine tragfähige, für die Steuerbehörden verbindliche Vertrauensgrundlage. Gewiss hatten sich offenbar keine grundlegenden Änderungen für die Bewertung der Liegenschaften der Y._______ AG in der Periode zwischen den zwei Kaufgeschäften ergeben. Die Befristung der Festlegung durch die Steuerbehörden war anlässlich des zweiten, hier interessierenden Aktienübergangs aber erkennbar abgelaufen und zudem hatte sich der Kaufpreis pro Aktie grundlegend verändert (Erhöhung von Fr. 48.20 auf Fr. 10'000.--). Die Beschwerdeführerin musste damit rechnen, dass dies einen Einfluss auf die Bemessungsgrundlage haben bzw. die Steuerverwaltung dazu veranlassen könnte, den Verkehrswert zu überprüfen und gegebenenfalls nach oben anzupassen. Jedenfalls konnte sie unter diesen Umständen nicht annehmen, sie habe Anspruch auf unveränderte und gleiche (bzw. gleichgünstige) Behandlung. Weshalb sie in der Folge gegen die trotzdem noch auf der gleichen Grundlage ergangene Veranlagung Einsprache erhob, lässt sich mit berechtigtem Vertrauen nicht erklären, sondern nur durch den Umstand, dass sie damals anscheinend noch hoffte, der Abgabepflicht überhaupt zu entgehen. Im Übrigen hat sie ihre Einsprache auch nicht zurückgezogen, nachdem sie von einer möglichen Verschlechterung ihrer Rechtsstellung Kenntnis erhalten hatte.</w:t>
      </w:r>
    </w:p>
    <w:p>
      <w:r>
        <w:rPr>
          <w:b/>
        </w:rPr>
        <w:t>E. 2.4</w:t>
      </w:r>
    </w:p>
    <w:p>
      <w:r>
        <w:t>Der Einwand, dass die Einsprache "vorsorglich" erfolgt sei, spielt sodann in diesem Zusammenhang keine Rolle. Eine "vorsorglich" erhobene Einsprache hat die gleichen Rechtswirkungen wie eine ohne Reservation erhobene, und auch ihre Behandlung ist nicht anders. Damit ist auch das Risiko einer reformatio in peius das gleiche. Nachdem der Verkehrswert von Fr. 10 Mio. auf ca. Fr. 16.27 Mio. (d.h. um über 60 %) nach oben korrigiert werden musste, waren im Weiteren auch die von der Rechtsprechung umschriebenen (einschränkenden) Voraussetzungen zur Vornahme einer reformatio in peius (offensichtliche Unvereinbarkeit mit dem Gesetz; sich aufdrängende Anpassung) offenkundig erfüllt (vgl. Urteile des Bundesgerichts 2A.408/2002 vom 13. Februar 2004 E. 1.4; 2A.286/2004 vom 31. August 2004 E. 2.1). Einer speziellen Feststellung der Vorinstanz hierzu bedurfte es nicht, zumal die Beschwerdeführerin die Berechnung des Verkehrswertes nicht bestritten hatte. Die Rügen der Beschwerdeführerin gehen mithin auch in diesem Zusammenhang ins Leere.</w:t>
      </w:r>
    </w:p>
    <w:p>
      <w:r>
        <w:rPr>
          <w:b/>
        </w:rPr>
        <w:t>E. 3</w:t>
      </w:r>
    </w:p>
    <w:p>
      <w:r>
        <w:t>Nach dem Ausgeführten erweist sich die Beschwerde als offensichtlich unbegründet und ist im vereinfachten Verfahren nach Art. 109 BGG (summarische Begründung / Verweis auf den angefochtenen Entscheid) abzuweisen, soweit darauf einzutreten ist. Damit wird die Beschwerdeführerin für das Verfahren vor dem Bundesgericht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