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241/2007 vom 12. Oktober 2007</w:t>
      </w:r>
    </w:p>
    <w:p>
      <w:r>
        <w:t>Bundesgericht, 2007-10-12, DE</w:t>
      </w:r>
    </w:p>
    <w:p>
      <w:r>
        <w:rPr>
          <w:b/>
        </w:rPr>
        <w:t xml:space="preserve">Quelle: </w:t>
      </w:r>
      <w:r>
        <w:t>https://mcp.opencaselaw.ch/entscheid/bger_2C_241_2007</w:t>
      </w:r>
    </w:p>
    <w:p>
      <w:r>
        <w:t>FR: TF 2C 241/2007 du 12 octobre 2007</w:t>
      </w:r>
    </w:p>
    <w:p>
      <w:r>
        <w:t>IT: TF 2C 241/2007 del 12 ottobre 2007</w:t>
      </w:r>
    </w:p>
    <w:p>
      <w:pPr>
        <w:pStyle w:val="Heading2"/>
      </w:pPr>
      <w:r>
        <w:t>Regeste</w:t>
      </w:r>
    </w:p>
    <w:p>
      <w:r>
        <w:t>Niederlassungsbewilligung | Bürgerrecht und Ausländerrecht</w:t>
      </w:r>
    </w:p>
    <w:p>
      <w:pPr>
        <w:pStyle w:val="Heading2"/>
      </w:pPr>
      <w:r>
        <w:t>Erwägungen</w:t>
      </w:r>
    </w:p>
    <w:p>
      <w:r>
        <w:rPr>
          <w:b/>
        </w:rPr>
        <w:t>E. 1</w:t>
      </w:r>
    </w:p>
    <w:p>
      <w:r>
        <w:t>Die für den betroffenen Ausländer erhobene Beschwerde 2C_241/2007, mit welcher die Verweigerung der anbegehrten Niederlassungsbewilligung als bundesrechtswidrig angefochten wird, und die seitens seines Rechtsvertreters in eigenem Namen eingereichte Beschwerde 2C_242/2007, worin dieser die Festsetzung seiner Entschädigung als unentgeltlicher Rechtsbeistand im kantonalen Rechtsmittelverfahren als willkürlich tief angesetzt rügt, richten sich gegen das gleiche Urteil des Verwaltungsgerichts. Es rechtfertigt sich, die beiden prozessual miteinander zusammenhängenden Verfahren zu vereinigen und durch ein einziges Urteil darüber zu entscheiden ( Art. 71 BGG in Verbindung mit Art. 24 BZP ). Vorweg zu behandeln ist dabei die Beschwerde in der Sache selber (Verfahren 2C_241/2007).</w:t>
      </w:r>
    </w:p>
    <w:p>
      <w:r>
        <w:rPr>
          <w:b/>
        </w:rPr>
        <w:t>E. 2.1</w:t>
      </w:r>
    </w:p>
    <w:p>
      <w:r>
        <w:t>Art. 83 lit. c Ziff. 2 BGG schliesst die Beschwerde in öffentlich-rechtlichen Angelegenheiten gegen Entscheide über ausländerrechtliche Bewilligungen aus, auf deren Erteilung weder nach dem Bundes- noch dem Völkerrecht ein Rechtsanspruch besteht.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w:t>
      </w:r>
    </w:p>
    <w:p>
      <w:r>
        <w:rPr>
          <w:b/>
        </w:rPr>
        <w:t>E. 2.2</w:t>
      </w:r>
    </w:p>
    <w:p>
      <w:r>
        <w:t>Nach Art. 7 Abs. 1 ANAG (in der Fassung vom 23. März 1990) hat der ausländische Ehegatte eines Schweizer Bürgers grundsätzlich Anspruch auf Erteilung und Verlängerung der Aufenthaltsbewilligung (Satz 1) sowie nach einem ordnungsgemässen und ununterbrochenem Aufenthalt von fünf Jahren auf Erteilung der Niederlassungsbewilligung (Satz 2); der Anspruch erlischt, wenn ein Ausweisungsgrund vorliegt (Satz 3). Für die Eintretensfrage ist im Zusammenhang mit Art. 7 ANAG einzig darauf abzustellen, ob formell eine Ehe besteht; anders als bei Art. 8 EMRK ist nicht erforderlich, dass die Ehe intakt ist und tatsächlich gelebt wird ( BGE 128 II 145 E. 1.1.2 S. 148 f. mit Hinweisen).</w:t>
      </w:r>
    </w:p>
    <w:p>
      <w:r>
        <w:rPr>
          <w:b/>
        </w:rPr>
        <w:t>E. 2.3</w:t>
      </w:r>
    </w:p>
    <w:p>
      <w:r>
        <w:t>Der Beschwerdeführer 1 ist nach wie vor mit seiner Schweizer Ehefrau verheiratet, womit nach dem Gesagten das Vorliegen eines Rechtsanspruches aus Art. 7 ANAG im Grundsatz zu bejahen ist. Die Beschwerde in öffentlich-rechtlichen Angelegenheiten erweist sich insoweit als zulässig.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 Nichts zu seinen Gunsten abzuleiten vermag der Beschwerdeführer 1 vorliegend aus dem in Art. 8 EMRK (bzw. Art. 13 Abs. 1 BV ) verankerten Recht auf Achtung des Familienlebens. Dies ergibt sich im Verhältnis zu seiner Ehefrau schon daraus, dass die Ehe zum heutigen Zeitpunkt nicht mehr gelebt wird. Was die Ausübung des Besuchsrechts zu seinen Kindern anbelangt, so ist zu berücksichtigen, dass dem Beschwerdeführer 1 lediglich die Niederlassungsbewilligung verweigert, die Aufenthaltsbewilligung jedoch verlängert wurde, womit er in der Lage ist, den Kontakt im bisherigen Umfang und damit in angemessener Weise zu pflegen. Einzig darauf kommt es unter dem Blickwinkel von Art. 8 EMRK an. Aus dieser Bestimmung ergibt sich kein Anspruch auf eine bestimmte fremdenpolizeiliche Bewilligungskategorie ( BGE 122 II 385 E. 1b S. 389 mit Hinweisen).</w:t>
      </w:r>
    </w:p>
    <w:p>
      <w:r>
        <w:rPr>
          <w:b/>
        </w:rPr>
        <w:t>E. 3.1</w:t>
      </w:r>
    </w:p>
    <w:p>
      <w:r>
        <w:t>Der Anspruch auf eine Niederlassungsbewilligung, um welchen es vorliegend einzig geht, entsteht nach einem ordnungsgemässen und ununterbrochenen Aufenthalt von fünf Jahren in der Schweiz (Art. 7 Abs. 1 zweiter Satz ANAG). Kein solcher Anspruch besteht,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Dieses Ziel wird von Art. 7 ANAG nicht geschützt ( BGE 130 II 113 E. 4.2 S. 117; 128 II 145 E. 2 S. 151 f.; 127 II 49 E. 4a/5a, je mit Hinweisen). Das Verwaltungsgericht begründet die streitige Verweigerung der Niederlassungsbewilligung nicht damit, dass der Beschwerdeführer 1 das Erfordernis eines ordnungsgemässen und ununterbrochenen fünfjährigen Aufenthaltes nicht erfülle oder eine Scheinehe eingegangen sei, sondern geht von einer rechtsmissbräuchlichen Berufung auf eine inzwischen nur noch formell bestehende Ehe aus.</w:t>
      </w:r>
    </w:p>
    <w:p>
      <w:r>
        <w:rPr>
          <w:b/>
        </w:rPr>
        <w:t>E. 3.2</w:t>
      </w:r>
    </w:p>
    <w:p>
      <w:r>
        <w:t>Ein Rechtsmissbrauch darf im vorliegenden Zusammenhang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in Art. 7 Abs. 1 ANAG vorgesehenen fremdenpolizeilichen Bewilligungen vom ehelichen Zusammenleben abhängig zu machen (ausführlich: BGE 118 Ib 145 E. 3 S. 149 ff.). Erforderlich sind klare Hinweise darauf, dass die Führung einer Lebensgemeinschaft nicht mehr beabsichtigt und nicht mehr zu erwarten ist ( BGE 128 II 145 E. 2.2 S. 151; 127 II 49 E. 5a S. 56 f. mit Hinweisen; Urteil 2A.245/2006 vom 31. August 2006, E. 2.2 sowie E. 3.2). Ein entsprechender Sachverhalt muss - um in der hier zu beurteilenden Konstellation massgeblich zu sein - zudem bereits vor Ablauf der Fünfjahresfrist gemäss Art. 7 Abs. 1 zweiter Satz ANAG, d.h. vor Erlangung des grundsätzlichen Anspruches auf die Niederlassungsbewilligung vorgelegen haben ( BGE 121 II 97 E. 4c S. 104 f.; Urteil 2A.245/2006 vom 31. August 2006, E. 2.1 in fine). Ob die Ehe, auf welche sich der Ausländer beruft, seither noch gelebt wurde oder Bestand hatte, ist grundsätzlich unerheblich. Immerhin können aber nachträglich eingetretene Sachumstände Indizien bilden, welche auf das Vorliegen (oder Nichtvorliegen) eines Rechtsmissbrauchs im massgeblichen Zeitpunkt schliessen lassen.</w:t>
      </w:r>
    </w:p>
    <w:p>
      <w:r>
        <w:rPr>
          <w:b/>
        </w:rPr>
        <w:t>E. 3.3</w:t>
      </w:r>
    </w:p>
    <w:p>
      <w:r>
        <w:t>Das Verwaltungsgericht begründet seine Auffassung, es liege eine rechtsmissbräuchliche Berufung auf eine nur noch formell bestehende Ehe vor, im Wesentlichen damit, dass der Beschwerdeführer 1 nicht mehr bei seiner Ehefrau wohne, diese ihn wiederholt wegen häuslicher Gewalt angezeigt habe, den Akten nicht entnommen werden könne, dass konkrete Bemühungen irgendwelcher Art unternommen worden seien, um die Beziehung zu retten, und die Ehefrau ihrem Scheidungswunsch durch eine Scheidungsklage Nachdruck verliehen habe. Die "Gesamtheit der Umstände" lasse den Schluss zu, dass die Ehe gescheitert sei und mit einer Wiedervereinigung nicht mehr gerechnet werden könne. Zwar äusserten sich die Eheleute im Verfahren nicht durchwegs negativ über einander, doch sei eine gewisse Distanz und ein Verharren in Schuldzuweisungen - vor allem der Ehefrau - nicht zu übersehen. Es sei nicht davon auszugehen, dass das Eheschutzverfahren noch zu einer gegenseitigen Annäherung beitragen werde.</w:t>
      </w:r>
    </w:p>
    <w:p>
      <w:r>
        <w:rPr>
          <w:b/>
        </w:rPr>
        <w:t>E. 3.4</w:t>
      </w:r>
    </w:p>
    <w:p>
      <w:r>
        <w:t>Im Falle des Beschwerdeführers 1 begann die Fünfjahresfrist gemäss Art. 7 Abs. 1 zweiter Satz ANAG im Zeitpunkt seiner Heirat nach erfolgter Einreise in die Schweiz, d.h. am 12. Januar 2001 zu laufen und endete mithin am 12. Januar 2006. Das angefochtene Urteil stellt für seine Feststellung, die Ehe sei definitiv gescheitert, wesentlich auf Umstände und Erklärungen ab, die später stattgefunden haben (Polizeiliche Einvernahmen der Eheleute vom 15. Mai 2006). Dabei unterlässt es jedoch die erforderliche zeitliche Einordnung der von ihm angeführten Indizien. Nach eigener, unbestrittener Darstellung lebte der Beschwerdeführer 1 bereits vor seiner Einreise in die Schweiz (November 2000) und der nachfolgenden Heirat (Januar 2001) in seinem Heimatland mit seiner Ehefrau zusammen, mit welcher er im Mai 1999 nach ägyptischem Recht die Ehe eingegangen war. Im Februar 2000 kam das erste gemeinsame Kind zur Welt, welchem, nach Übersiedelung der Familie in die Schweiz, im Juni 2002 ein zweites folgen sollte. Bis zur Trennung im Oktober 2005 ist unstreitig von einer langjährigen, ununterbrochen gelebten ehelichen Beziehung auszugehen. Die Handgreiflichkeiten des Beschwerdeführers 1 gegenüber seiner Ehefrau am 10. Oktober 2005 (Gegenstand der Strafanzeige vom 29. Dezember 2005) bildeten zwar den Anlass für die Auflösung des gemeinsamen Haushaltes und die Anrufung des Eheschutzrichters, führten indessen noch nicht zum definitiven Bruch zwischen den Ehegatten, wie dies bei einer weniger gefestigten ehelichen Beziehung unter derartigen Umständen üblicherweise der Fall gewesen wäre. Vielmehr haben sich die Ehegatten, wie seitens der Ehefrau bestätigt wurde, danach auch weiterhin regelmässig gesehen (mindestens zu den Zeiten des Besuchsrechts), wobei von einer "Wiederaufbauphase" die Rede war (Stellungnahme der Ehefrau vom 16. Januar 2006 zuhanden des Amtes für Ausländerfragen). Noch am 14. Mai 2006 (Muttertag), als es in der Folge zur zweiten Strafanzeige wegen häuslicher Gewalt kam, besuchte die Ehefrau den Beschwerdeführer 1 in dessen Wohnung zum gemeinsamen Abendessen zusammen mit den Kindern. Nach - unwidersprochen gebliebener - Darstellung des Beschwerdeführers 1 soll es zwischen den Eheleuten auch nach der am 17. Oktober 2005 erfolgten Trennung und auch nach Ablauf der Fünfjahresfrist am 12. Januar 2006 zu intimen Beziehungen gekommen sein. Angesichts dieser Umstände erscheint der Schluss der Vorinstanz, die Ehe sei bereits bei Ablauf der Fünfjahresfrist definitiv gescheitert gewesen, nicht haltbar. Wohl mag aufgrund der heutigen Verhältnisse, d.h. insbesondere nach dem neuerlichen gewalttätigen Verhalten des Ehemannes am 14. Mai 2006, eine Wiedervereinigung der Ehegatten unwahrscheinlich sein und die Ehefrau die Absicht einer Scheidung allenfalls schon im Zeitpunkt der Trennung (Oktober 2005) gehabt haben, auch wenn sie diesen Schritt aus Rücksicht auf die ausländerrechtliche Situation ihres Ehemannes nicht sofort machen wollte (Protokoll vom 15. Mai 2006, Ziff. 3). Die im angefochtenen Urteil enthaltenen Feststellungen erlauben aber noch nicht den Schluss, die Ehe sei schon im vorliegend massgeblichen Zeitpunkt (Januar 2006) offensichtlich definitiv gescheitert gewesen und die Berufung des Beschwerdeführers 1 auf Art. 7 ANAG daher rechtsmissbräuchlich. Dazu bedürfte es klarer Hinweise und Indizien (vgl. auch Urteil 2A.245/2006 vom 31. August 2006, E. 3.2).</w:t>
      </w:r>
    </w:p>
    <w:p>
      <w:r>
        <w:rPr>
          <w:b/>
        </w:rPr>
        <w:t>E. 4</w:t>
      </w:r>
    </w:p>
    <w:p>
      <w:r>
        <w:t>Das angefochtene Urteil verletzt nach dem Gesagten Bundesrecht und ist mithin in Gutheissung der Beschwerde im Verfahren 2C_241/2007 aufzuheben.</w:t>
      </w:r>
    </w:p>
    <w:p>
      <w:r>
        <w:rPr>
          <w:b/>
        </w:rPr>
        <w:t>E. 4.1</w:t>
      </w:r>
    </w:p>
    <w:p>
      <w:r>
        <w:t>Heisst das Bundesgericht eine Beschwerde gut, so entscheidet es in der Sache selbst oder weist diese zu neuer Beurteilung an die Vorinstanz zurück. Es kann die Sache auch an die Behörde zurückweisen, die als erste Instanz entschieden hat ( Art. 107 Abs. 2 BGG ). Vorliegend erscheint es angezeigt, dass das Bundesgericht das kantonale Departement des Innern als zuständige Migrationsbehörde anweist, dem Beschwerdeführer 1 die Niederlassungsbewilligung zu erteilen.</w:t>
      </w:r>
    </w:p>
    <w:p>
      <w:r>
        <w:rPr>
          <w:b/>
        </w:rPr>
        <w:t>E. 4.2</w:t>
      </w:r>
    </w:p>
    <w:p>
      <w:r>
        <w:t>Bei diesem Verfahrensausgang werden keine Gerichtskosten erhoben ( Art. 66 Abs. 4 BGG ). Der Kanton Solothurn hat den Beschwerdeführer 1 für das bundesgerichtliche Verfahren angemessen zu entschädigen ( Art. 68 Abs. 1 und 2 BGG ). Das für dieses Verfahren gestellte Gesuch um unentgeltliche Rechtspflege und Verbeiständung ( Art. 66 BGG ) erweist sich damit als gegenstandslos. Das Verwaltungsgericht wird ersucht, über die Kosten- und Entschädigungsfolgen des kantonalen Verfahrens neu zu befinden (vgl. Art. 67 sowie Art. 68 Abs. 5 BGG ).</w:t>
      </w:r>
    </w:p>
    <w:p>
      <w:r>
        <w:rPr>
          <w:b/>
        </w:rPr>
        <w:t>E. 5.1</w:t>
      </w:r>
    </w:p>
    <w:p>
      <w:r>
        <w:t>Mit der Aufhebung des angefochtenen Urteils des Verwaltungsgerichts mitsamt seinem diesbezüglichen Kosten- und Entschädigungsentscheid wird die vom Beschwerdeführer 2, dem damaligen und heutigen Rechtsvertreter des Beschwerdeführers 1, in eigenem Namen eingelegte Beschwerde im Verfahren 2C_242/2007, welche sich gegen die als willkürlich tief festgesetzt gerügte Entschädigung des unentgeltlichen Rechtsbeistandes im vorinstanzlichen Verfahren richtet, gegenstandslos und ist demzufolge abzuschreiben.</w:t>
      </w:r>
    </w:p>
    <w:p>
      <w:r>
        <w:rPr>
          <w:b/>
        </w:rPr>
        <w:t>E. 5.2</w:t>
      </w:r>
    </w:p>
    <w:p>
      <w:r>
        <w:t>Wird ein Verfahren gegenstandslos, so ist mit summarischer Begründung über die Prozesskosten auf Grund der Sachlage vor Eintritt des Erledigungsgrundes zu entscheiden ( Art. 71 BGG in Verbindung mit Art. 72 BZP ; Hansjörg Seiler, in: Seiler/von Werdt/Güngerich, Kommentar zum Bundesgerichtsgesetz, Bern 2007, N. 39 zu Art. 66). Dem Beschwerdeführer 2 wurde als im Verfahren vor Verwaltungsgericht beigeordneter unentgeltlicher Rechtsbeistand für das Verfahren vor Verwaltungsgericht eine pauschale Entschädigung von Fr. 700.-- (inkl. Auslagen und Mehrwertsteuer) zugesprochen. Diese Entschädigung erscheint, angesichts der Tragweite und Komplexität des Falles und mit Blick auf die Tatsache, dass die Entschädigung für einen amtlichen Anwalt nach bundesgerichtlicher Rechtsprechung im Sinne einer Faustregel sich in der Grössenordnung von Fr. 180.-- pro Stunde (zuzüglich Mehrwertsteuer) bewegen muss, um vor der Verfassung standzuhalten ( BGE 132 I 201 E. 8.7 S. 217 f.), als tendenziell zu tief angesetzt. Die Beschwerde 2C_242/2007 hätte daher voraussichtlich gutgeheissen werden müssen.</w:t>
      </w:r>
    </w:p>
    <w:p>
      <w:r>
        <w:rPr>
          <w:b/>
        </w:rPr>
        <w:t>E. 5.3</w:t>
      </w:r>
    </w:p>
    <w:p>
      <w:r>
        <w:t>Unter diesen Umständen sind auch in diesem Verfahren vom Bundesgericht keine Gerichtskosten zu erheben ( Art. 66 Abs. 4 BGG ). Die Voraussetzung, wonach ein in eigener Sache handelnder Anwalt nur dann Anspruch auf Zusprechung einer Parteientschädigung hat, wenn die Abfassung der Beschwerde für ihn mit einem besonderen Aufwand verbunden war (vgl. BGE 129 II 297 E. 5 S. 304; zur Weiterführung dieser Rechtsprechung unter dem Bundesgerichtsgesetz: Urteil 1C_89/2007 vom 13. Juli 2007, E. 4), kommt dann nicht zur Anwendung, wenn der Anwalt vor Bundesgericht um die Höhe seines Honorars als amtlicher Rechtsbeistand streitet ( BGE 125 I 518 E. 5b S. 520; Seiler, a.a.O., N. 16 in fine zu Art. 68). Der Kanton Solothurn hat mithin den Beschwerdeführer 2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