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2C_240/2021 vom 24. August 2021</w:t>
      </w:r>
    </w:p>
    <w:p>
      <w:r>
        <w:t>Bundesgericht, 2021-08-24, DE</w:t>
      </w:r>
    </w:p>
    <w:p>
      <w:r>
        <w:rPr>
          <w:b/>
        </w:rPr>
        <w:t xml:space="preserve">Quelle: </w:t>
      </w:r>
      <w:r>
        <w:t>https://mcp.opencaselaw.ch/entscheid/bger_2C_240_2021</w:t>
      </w:r>
    </w:p>
    <w:p>
      <w:r>
        <w:t>FR: TF 2C_240/2021 du 24 août 2021</w:t>
      </w:r>
    </w:p>
    <w:p>
      <w:r>
        <w:t>IT: TF 2C_240/2021 del 24 agosto 2021</w:t>
      </w:r>
    </w:p>
    <w:p>
      <w:pPr>
        <w:pStyle w:val="Heading2"/>
      </w:pPr>
      <w:r>
        <w:t>Erwägungen</w:t>
      </w:r>
    </w:p>
    <w:p>
      <w:r>
        <w:rPr>
          <w:b/>
        </w:rPr>
        <w:t>E. 1</w:t>
      </w:r>
    </w:p>
    <w:p>
      <w:r>
        <w:t>Die Beschwerde richtet sich gegen den Endentscheid einer kantonalen Rekurskommission betreffend die Rückerstattung der Verrechnungssteuer. Dagegen kann Beschwerde beim Bundesgericht erhoben werden ( Art. 82 lit. a, Art. 90, Art. 86 Abs. 2 BGG i.V.m. Art. 56 VStG ). Die ESTV ist zur Beschwerde legitimiert ( Art. 89 Abs. 2 lit. a BGG i.V.m. Art. 66 Abs. 3 der Verordnung vom 19. Dezember 1966 über die Verrechnungssteuer [VStV; SR 642.211]). Die Beschwerde wurde frist- und formgerecht eingereicht ( Art. 100 Abs. 1, Art. 42 BGG ).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In Bezug auf die Verletzung der verfassungsmässigen Rechte gilt nach Art. 106 Abs. 2 BGG eine gesteigerte Rüge- und Substanziierungspflicht ( BGE 143 II 283 E. 1.2.2 ; 139 I 229 E. 2.2 ; 138 I 274 E. 1.6).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2.3</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In Fällen, in welchen das Bundesgericht die Sache mit der Weisung an die Vorinstanz zurückweist, den Sachverhalt zu ergänzen und gestützt darauf einen neuen Entscheid zu erlassen, ist die rechtliche Auffassung des Bundesgerichts dafür massgeblich, welche Tatsachen als rechtserheblich gelten, abzuklären und dem neuen Entscheid zu Grunde zu legen sind (zur Sachverhaltsergänzung auf Rückweisung hin siehe BGE 143 IV 214 E. 5.3.3). Angesichts dessen, dass die Untersuchungsmaxime auch in Rückweisungsverfahren Anwendung findet, ist es dabei der angewiesenen Instanz nicht untersagt, sofern erforderlich Beweise zu erheben, die bereits in einem früheren Verfahrensstadium hätten abgenommen werden können ( BGE 143 IV 214 E. 5.4).</w:t>
      </w:r>
    </w:p>
    <w:p>
      <w:r>
        <w:rPr>
          <w:b/>
        </w:rPr>
        <w:t>E. 3</w:t>
      </w:r>
    </w:p>
    <w:p>
      <w:r>
        <w:t>Der Streit dreht sich um die Frage, ob die Beschwerdeführer ihren Anspruch auf Rückerstattung der Verrechnungssteuer nach Art. 23 Abs. 1 VStG verwirkt haben.</w:t>
      </w:r>
    </w:p>
    <w:p>
      <w:r>
        <w:rPr>
          <w:b/>
        </w:rPr>
        <w:t>E. 3.1</w:t>
      </w:r>
    </w:p>
    <w:p>
      <w:r>
        <w:t>Im Urteil 2C_37/2019 vom 16. August 2019 erkannte das Bundesgericht, dass auf den vorliegenden Fall aufgrund der Übergangsbestimmung von Art. 70d VStG die am 1. Januar 2019 in Kraft getretene Bestimmung von Art. 23 Abs. 2 VStG Anwendung findet (Urteil 2C_37/2019 vom 16. August 2019 E. 2). Danach verwirkt der Anspruch auf die Rückerstattung der Verrechnungssteuer nicht, wenn die Einkünfte oder Vermögen in der Steuererklärung fahrlässig nicht angegeben wurden und in einem noch nicht rechtskräftig abgeschlossenen Veranlagungs-, Revisions- oder Nachsteuerverfahren nachträglich angegeben werden (lit. a) oder von der Steuerbehörde aus eigener Feststellung zu den Einkünften oder Vermögen hinzugerechnet werden (lit. b). Dasselbe gilt, wenn der betreffenden Person gar kein Verschulden vorgeworfen werden kann (vgl. Urteile 2C_74/2018 vom 16. September 2019 E. 2.2; 2C_224/2017 vom 16. August 2019 E. 2.2). In Bezug auf die Frage des subjektiven Tatbestandsmerkmals kam das Bundesgericht zum Schluss, dass die Sachverhaltsfeststellungen der Vorinstanz in Bezug auf diese Frage unvollständig waren und gestützt darauf nicht beurteilt werden konnte, ob der Beschwerdegegner Kenntnis der Unrichtigkeit bzw. Unvollständigkeit der Steuererklärung hatte und die Nichtdeklaration fahrlässig oder eventualvorsätzlich erfolgte (vgl. Urteil 2C_37/2019 vom 16. August 2019 E. 4.2.2). Es wies die Sache daher an die Vorinstanz zurück, welche die erforderlichen zusätzlichen Feststellungen treffen sollte.</w:t>
      </w:r>
    </w:p>
    <w:p>
      <w:r>
        <w:rPr>
          <w:b/>
        </w:rPr>
        <w:t>E. 3.2</w:t>
      </w:r>
    </w:p>
    <w:p>
      <w:r>
        <w:t>Die Vorinstanz hat festgestellt, dass der weit über 70-jährige Beschwerdegegner im fraglichen Zeitraum gemäss Arztzeugnis unter gesundheitlichen Beeinträchtigungen (Schlafapnoe-Syndrom, Lungenfibrose) gelitten hatte. Aus ihrer Sicht stand nicht mit hinreichender Sicherheit fest, dass sich die Beschwerdegegner der Unvollständigkeit der Steuererklärung bewusst gewesen seien. Sie ging davon aus, dass der Beschwerdegegner aufgrund seines nachgewiesenen Gesundheitszustandes die Dividende vergessen habe und sich auch nach Nachfragen des Steuerberaters nicht daran erinnern konnte (vgl. angefochtener Entscheid E. 4e).</w:t>
      </w:r>
    </w:p>
    <w:p>
      <w:r>
        <w:rPr>
          <w:b/>
        </w:rPr>
        <w:t>E. 3.3</w:t>
      </w:r>
    </w:p>
    <w:p>
      <w:r>
        <w:t>Die ESTV ist der Ansicht, dass nach der allgemeinen Lebenserfahrung aufgrund der Gesamtumstände (Organstellung des Beschwerdegegners als Aufsichtsstelle über die Verwaltung der B.________ AG, der mehrmaligen und ausdrücklichen Konfrontation mit der Frage nach einer Dividende durch seinen Rechtsvertreter sowie der ausserordentlichen Höhe der fraglichen Dividende) mit an Sicherheit grenzender Wahrscheinlichkeit davon ausgegangen werden müsse, dass sich die Beschwerdeführer der unvollständigen Deklaration bewusst gewesen seien und die daraus resultierende Steuerverkürzung zumindest in Kauf genommen haben. Sie stellt der Begründung ihrer Beschwerde eine ausführliche Darstellung des Sachverhalts voran, die sich nur teilweise mit der Darstellung im angefochtenen Entscheid deckt (vgl. Beschwerde Ziff. II). Dennoch geht die ESTV davon aus, dass ihre Darstellung dem Sachverhalt entspreche, wie ihn die Vorinstanz festgestellt habe und er zwischen den Parteien unumstritten sei. Für den Fall, dass das Bundesgericht dies anders sehe, rügt die ESTV die Sachverhaltsfeststellung der Vorinstanz als offensichtlich unrichtig und macht sie eine Verletzung der verfassungsrechtlichen Verfahrensgarantien ( Art. 29 Abs. 1 und 2 BV ) geltend (vgl. Beschwerde Ziff. 3.3).</w:t>
      </w:r>
    </w:p>
    <w:p>
      <w:r>
        <w:rPr>
          <w:b/>
        </w:rPr>
        <w:t>E. 3.4</w:t>
      </w:r>
    </w:p>
    <w:p>
      <w:r>
        <w:t>Aufgrund der Darstellung des Sachverhalts im angefochtenen Urteil ist nicht davon auszugehen, dass die Vorinstanz der Anweisung des Bundesgerichts im Urteil 2C_37/2019 vom 16. August 2019 Folge geleistet und selbst weitere Untersuchungsmassnahmen ergriffen hätte. Vielmehr scheint sie sich mit einem Arztzeugnis zufrieden gegeben zu haben, das die Beschwerdeführer bei ihr eingereicht hatten. Dieses Schreiben belegt zwar, dass der Beschwerdeführer an einem obstruktiven Schlaf-Apnoesyndrom litt. Selbst wenn Beeinträchtigungen des Erinnerungsvermögens typische Symptome einer solchen Erkrankung sind, kann es aber von Vornherein alleine nicht beweisen, dass der Beschwerdeführer die Dividendenzahlung tatsächlich vergessen hatte. Auf dieser schwachen Basis konnte die Vorinstanz folglich nicht willkürfrei feststellen, dass der Beschwerdegegner keine Kenntnis der Dividendenzahlung (mehr) hatte, als sein Steuerberater ihn danach fragte und die Steuererklärung ausfertigte.</w:t>
      </w:r>
    </w:p>
    <w:p>
      <w:r>
        <w:rPr>
          <w:b/>
        </w:rPr>
        <w:t>E. 3.5</w:t>
      </w:r>
    </w:p>
    <w:p>
      <w:r>
        <w:t>Die Feststellung des Sachverhalts durch die Vorinstanz erweist sich somit als offensichtlich unrichtig. Auf Basis der Akten lässt sich weiterhin nicht beurteilen, ob der Beschwerdegegner um die Unvollständigkeit der Steuererklärung wusste und die Dividende willentlich nicht deklarierte. Die Angelegenheit ist deshalb erneut an die Vorinstanz zurückzuweisen, damit sie - wie bereits im ersten Urteil 2C_37/2019 vom 16. August 2019 angeordnet - die erforderlichen Untersuchungen vornimmt.</w:t>
      </w:r>
    </w:p>
    <w:p>
      <w:r>
        <w:rPr>
          <w:b/>
        </w:rPr>
        <w:t>E. 4</w:t>
      </w:r>
    </w:p>
    <w:p>
      <w:r>
        <w:t>Die Beschwerde ist begründet und gutzuheissen. Die Sache ist an die Vorinstanz zu ergänzender Sachverhaltsfeststellung und Neubeurteilung zurückzuweisen. Üblicherweise trägt die unterliegende Partei die Gerichtskosten ( Art. 66 Abs. 1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 BGE 142 V 551 E. 9.1; Urteile 8C_503/2019 vom 19. Dezember 2019 E. 4.1 und 4.2; 2C_1093/2012 vom 26. April 2013 E. 3). Dies trifft hier zu, da die Vorinstanz die bundesgerichtliche Anweisung zur Sachverhaltsabklärung missachtet und dadurch das vorliegende Beschwerdeverfahren provoziert hat. Demnach sind die Gerichtskosten dem Kanton Basel-Stadt aufzuerlegen. Die obsiegende ESTV hat keinen Anspruch auf Parteientschädigung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