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2C_23/2015 vom 14. Januar 2015</w:t>
      </w:r>
    </w:p>
    <w:p>
      <w:r>
        <w:t>Bundesgericht, 2015-01-14, FR</w:t>
      </w:r>
    </w:p>
    <w:p>
      <w:r>
        <w:rPr>
          <w:b/>
        </w:rPr>
        <w:t xml:space="preserve">Quelle: </w:t>
      </w:r>
      <w:r>
        <w:t>https://mcp.opencaselaw.ch/entscheid/bger_2C_23_2015</w:t>
      </w:r>
    </w:p>
    <w:p>
      <w:r>
        <w:t>FR: TF 2C_23/2015 du 14 janvier 2015</w:t>
      </w:r>
    </w:p>
    <w:p>
      <w:r>
        <w:t>IT: TF 2C_23/2015 del 14 gennaio 2015</w:t>
      </w:r>
    </w:p>
    <w:p>
      <w:pPr>
        <w:pStyle w:val="Heading2"/>
      </w:pPr>
      <w:r>
        <w:t>Erwägungen</w:t>
      </w:r>
    </w:p>
    <w:p>
      <w:r>
        <w:rPr>
          <w:b/>
        </w:rPr>
        <w:t>E. 1</w:t>
      </w:r>
    </w:p>
    <w:p>
      <w:r>
        <w:t>Par arrêt du 2 décembre 2014 (ATA/961/2014), la Cour de justice du canton de Genève a rejeté le recours que Victor-Stéphane et Amélie X.________ ont interjeté contre le jugement du Tribunal administratif de première instance du 20 janvier 2014 confirmant les taxations de l'Administration fiscale cantonale du canton de Genève en matière d'impôts fédéral direct, cantonal et communal des périodes fiscales 2005 et 2006.</w:t>
      </w:r>
    </w:p>
    <w:p>
      <w:r>
        <w:t>Par arrêt du 2 décembre 2014 (ATA/960/2014), la Cour de justice du canton de Genève a rejeté le recours que A.X.________ et B.X.________ ont interjeté contre le jugement du Tribunal administratif de première instance du 20 janvier 2014 confirmant la taxation de l'Administration fiscale cantonale du canton de Genève en matière d'impôts cantonal et communal de la période fiscale 2007.</w:t>
      </w:r>
    </w:p>
    <w:p>
      <w:r>
        <w:rPr>
          <w:b/>
        </w:rPr>
        <w:t>E. 2</w:t>
      </w:r>
    </w:p>
    <w:p>
      <w:r>
        <w:t>Agissant par la voie du recours en matière de droit public, les intéressés demandent au Tribunal fédéral d'ordonner la jonction des causes, de suspendre la procédure de recours en matière de droit public jusqu'à droit connu sur leur demande de récusation du juge Thélin dans les arrêts attaqués, d'annuler les arrêts rendus le 2 décembre 2014, de confirmer que la parcelle 2318 est propriété des consorts X.________, d'ordonner à l'Administration fiscale cantonale d'établir le montant de la fortune brut immobilière pour chacun des consorts, de les exempter de l'imposition de la valeur locative, d'annuler la valeur immobilière vénale de la parcelle 2665 et d'ordonner à l'Administration fiscale cantonale d'établir le montant de la fortune brut immobilière de la parcelle 2665 et d'adresser les bordereaux d'impôts pour les périodes fiscales 2005 à 2007 à l'exécuteur testamentaire.</w:t>
      </w:r>
    </w:p>
    <w:p>
      <w:r>
        <w:t>Le recours a été enregistré sous les numéros d'ordre 2C_23/2015 pour l'impôt cantonal et communal des périodes fiscales 2005 et 2006 et 2C_24/2014 pour l'impôt fédéral direct des périodes fiscales 2005 et 2006 et enfin 2C_25/2015 pour l'impôt cantonal et communal de la période fiscale 2007. Les causes sont jointes.</w:t>
      </w:r>
    </w:p>
    <w:p>
      <w:r>
        <w:rPr>
          <w:b/>
        </w:rPr>
        <w:t>E. 3</w:t>
      </w:r>
    </w:p>
    <w:p>
      <w:r>
        <w:t>La requête de suspension de la procédure est rejetée.</w:t>
      </w:r>
    </w:p>
    <w:p>
      <w:r>
        <w:rPr>
          <w:b/>
        </w:rPr>
        <w:t>E. 4.1</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rPr>
          <w:b/>
        </w:rPr>
        <w:t>E. 4.2</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4.3</w:t>
      </w:r>
    </w:p>
    <w:p>
      <w:r>
        <w:t>En l'espèce, les recourants ne critiquent en aucune manière ne serait-ce même que succinctement le droit appliqué par l'instance précédente et s'en prennent aux faits établis dans les arrêts attaqués sans respecter les exigences de motivation à cet effet.</w:t>
      </w:r>
    </w:p>
    <w:p>
      <w:r>
        <w:rPr>
          <w:b/>
        </w:rPr>
        <w:t>E. 5</w:t>
      </w:r>
    </w:p>
    <w:p>
      <w:r>
        <w:t>Le recours est ainsi manifestement irrecevable ( art. 108 al. 1 let. b LTF ) et doit être traité selon la procédure simplifiée de l' art. 108 LTF , sans qu'il y ait lieu d'ordonner un échange d'écritures. Succombant, les recourants doivent supporter les frais de la procédure fédérale (art. 66 al. 1 et 5LTF).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