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2C_238/2010 vom 4. November 2010</w:t>
      </w:r>
    </w:p>
    <w:p>
      <w:r>
        <w:t>Bundesgericht, 2010-11-04, DE</w:t>
      </w:r>
    </w:p>
    <w:p>
      <w:r>
        <w:rPr>
          <w:b/>
        </w:rPr>
        <w:t xml:space="preserve">Quelle: </w:t>
      </w:r>
      <w:r>
        <w:t>https://mcp.opencaselaw.ch/entscheid/bger_2C_238_2010</w:t>
      </w:r>
    </w:p>
    <w:p>
      <w:r>
        <w:t>FR: TF 2C_238/2010 du 4 novembre 2010</w:t>
      </w:r>
    </w:p>
    <w:p>
      <w:r>
        <w:t>IT: TF 2C_238/2010 del 4 novembre 2010</w:t>
      </w:r>
    </w:p>
    <w:p>
      <w:pPr>
        <w:pStyle w:val="Heading2"/>
      </w:pPr>
      <w:r>
        <w:t>Erwägungen</w:t>
      </w:r>
    </w:p>
    <w:p>
      <w:r>
        <w:rPr>
          <w:b/>
        </w:rPr>
        <w:t>E. 1</w:t>
      </w:r>
    </w:p>
    <w:p>
      <w:r>
        <w:t>Entscheide oberer kantonaler Gerichte ( Art. 86 Abs. 1 lit. d, Abs. 2 BGG ) über die Staats- und Gemeindesteuern können mit Beschwerde in öffentlich-rechtlichen Angelegenheiten angefochten werden ( Art. 82 ff. BGG ; Art. 73 des Steuerhamonisierungsgesetzes vom 14. Dezember 1990; StHG 642.14). Die Beschwerdeführer sind als Steuerpflichtige durch den angefochtenen Entscheid des kantonalen Verwaltungsgerichts besonders berührt und zur Beschwerde grundsätzlich legitimiert ( Art. 89 Abs. 1 BGG ).</w:t>
      </w:r>
    </w:p>
    <w:p>
      <w:r>
        <w:rPr>
          <w:b/>
        </w:rPr>
        <w:t>E. 2</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(s. auch Art. 108 Abs. 1 lit. b BGG ). Zwar wendet das Bundesgericht das Recht von Amtes wegen an ( Art. 106 Abs. 1 BGG ); dies setzt aber voraus, dass auf die Beschwerde eingetreten werden kann, diese also den Anforderungen an die Begründung von Art. 42 Abs. 2 BGG genügt ( BGE 134 II 244 E. 2.1).</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und inwiefern sie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mit Hinweisen).</w:t>
      </w:r>
    </w:p>
    <w:p>
      <w:r>
        <w:rPr>
          <w:b/>
        </w:rPr>
        <w:t>E. 3</w:t>
      </w:r>
    </w:p>
    <w:p>
      <w:r>
        <w:t>Im Streite liegen, wie gesagt, nicht die Steuerfaktoren, sondern einzig die Festsetzung der Veranlagungsbehörde über die Buchwerte und kumulierten Abschreibungen auf den Vermögenswerten per 31. Dezember 2004. Die Vorinstanz trat auf die Beschwerde des Kantonalen Steueramtes, welches diese Werte überprüft haben wollte, zwar ein, weil das Kantonale Steueramt hiervon betroffen ist. Es hielt jedoch fest, dass reine (über die Festsetzung der Steuerfaktoren hinausgehende) Feststellungsentscheide nach der aargauischen Gerichts- und Verwaltungspraxis nur in Ausnahmefällen zulässig seien und vorliegend kein solcher besonderer Fall vorliege. Es hob daher die Entscheide des Steuerrekursgerichts und der Steuerkommission, "soweit darin über die Festlegung der Steuerfaktoren hinaus Feststellungen getroffen werden", auf.</w:t>
      </w:r>
    </w:p>
    <w:p>
      <w:r>
        <w:t>Die Beschwerdeführer, welche diesen Entscheid anfechten, müssen folglich darlegen, weshalb eine Feststellungsverfügung nach aargauischem Recht zulässig sein soll und der gegenteilige angefochtene Entscheid Bundesrecht oder kantonales (Verfahrens-)Recht (letzteres in qualifizierter Form, vgl. E. 2) verletzen soll. Nur dann kann eine Beschwerdebegründung als sachbezogen und genügend im Sinne von Art. 42 Abs. 2 und Art. 106 Abs. 2 BGG bezeichnet werden. Eine solche Begründung findet sich in der vorliegenden Beschwerde nicht. Die Beschwerdeführer machen darin lediglich geltend, den Ausführungen des Verwaltungsgerichtsurteils werde widersprochen und eine Festlegung der Buchwerte und kumulierten Abschreibungen sei erforderlich. Die Ausführungen des Verwaltungsgerichts seien "nicht zutreffend" und auch Steuerbehörden müssten - neben den Steuerpflichtigen - ein "Interesse an einer klaren Festlegung der Einkommenssteuerwerte haben". Aus dieser Begründung geht nicht hervor, inwiefern nach Ansicht der Beschwerdeführer das Urteil des kantonalen Verwaltungsgerichts Bundesrecht oder kantonales Recht, dieses auf willkürliche Weise, verletzen könnte. Es fehlt überhaupt jegliche Auseinandersetzung mit der Argumentation des Verwaltungsgerichts im angefochtenen Entscheid. Dabei hat das Verwaltungsgericht seine differenzierte Praxis zu den Feststellungsentscheiden im Zusammenhang mit der Umgestaltung der Kapitalgewinnbesteuerung dargestellt und ausgeführt, weshalb entgegen der Auffassung des Kantonalen Steueramtes (welches Beschwerde führte) kein Fall vorliege, in dem zwingende Gründe für den Erlass einer Feststellungsverfügung sprächen. Die vorliegende Beschwerde ist folglich nicht sachbezogen und erlaubt es dem Bundesgericht nicht, den angefochtenen Entscheid auf Rechtsfehler hin zu prüfen. Auf die Beschwerde ist nicht einzutreten.</w:t>
      </w:r>
    </w:p>
    <w:p>
      <w:r>
        <w:t>Eine Nachfrist zur Verbesserung der Beschwerde ist auch nach Art. 42 BGG oder nach allgemeinen Grundsätzen nicht geboten (vgl. BGE 134 II 244 E. 2.4, besonders 2.4.2).</w:t>
      </w:r>
    </w:p>
    <w:p>
      <w:r>
        <w:rPr>
          <w:b/>
        </w:rPr>
        <w:t>E. 4</w:t>
      </w:r>
    </w:p>
    <w:p>
      <w:r>
        <w:t>Da auf die Beschwerde nicht eingetreten werden kann, darf auch die in der Vernehmlassung des kantonalen Steueramtes enthaltene Begründung nicht hilfsweise herangezogen werden. Gleiches gilt auch für die von den Beschwerdeführern nach Ablauf der Beschwerdefrist unaufgefordert eingereichte Replik, da die Begründung in der Beschwerde enthalten sein muss.</w:t>
      </w:r>
    </w:p>
    <w:p>
      <w:r>
        <w:rPr>
          <w:b/>
        </w:rPr>
        <w:t>E. 5</w:t>
      </w:r>
    </w:p>
    <w:p>
      <w:r>
        <w:t>Auf die Beschwerde ist nach dem Gesagten nicht einzutreten. Die Gerichtskosten ( Art. 65 BGG ) sind den Beschwerdeführern aufzuerlegen, welche hierfür solidarisch haften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