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2C_237/2015 vom 2. November 2015</w:t>
      </w:r>
    </w:p>
    <w:p>
      <w:r>
        <w:t>Bundesgericht, 2015-11-02, DE</w:t>
      </w:r>
    </w:p>
    <w:p>
      <w:r>
        <w:rPr>
          <w:b/>
        </w:rPr>
        <w:t xml:space="preserve">Quelle: </w:t>
      </w:r>
      <w:r>
        <w:t>https://mcp.opencaselaw.ch/entscheid/bger_2C_237_2015</w:t>
      </w:r>
    </w:p>
    <w:p>
      <w:r>
        <w:t>FR: TF 2C_237/2015 du 2 novembre 2015</w:t>
      </w:r>
    </w:p>
    <w:p>
      <w:r>
        <w:t>IT: TF 2C_237/2015 del 2 novembre 2015</w:t>
      </w:r>
    </w:p>
    <w:p>
      <w:pPr>
        <w:pStyle w:val="Heading2"/>
      </w:pPr>
      <w:r>
        <w:t>Erwägungen</w:t>
      </w:r>
    </w:p>
    <w:p>
      <w:r>
        <w:rPr>
          <w:b/>
        </w:rPr>
        <w:t>E. 1.1</w:t>
      </w:r>
    </w:p>
    <w:p>
      <w:r>
        <w:t>Der Beschwerdeführer kann sich als deutscher Staatsangehöriger auf das Abkommen vom 21. Juni 1999 zwischen der Schweizerischen Eidgenossenschaft einerseits und der Europäischen Gemeinschaft und ihren Mitgliedstaaten andererseits über die Freizügigkeit berufen (FZA; SR 0.142.112.681). Gemäss Art. 2 Abs. 1 Anhang I FZA hat er das Recht, sich nach Massgabe der Kapitel II bis IV in der Schweiz aufzuhalten und hier einer Erwerbstätigkeit nachzugehen. In diesen Anspruch darf, soweit die inhärenten Bewilligungsvoraussetzungen erfüllt sind, nur durch Massnahmen eingegriffen werden, die aus Gründen der öffentlichen Ordnung, Sicherheit und Gesundheit gerechtfertigt erscheinen ( Art. 5 Anhang I FZA ; vgl. ZÜND/HUGI YAR, Staatliche Leistungen und Aufenthaltsbeendigung unter dem FZA, in: Epiney/ Gordzielik [Hrsg.], Personenfreizügigkeit und Zugang zu staatlichen Leistungen, 2014, S. 157 ff., dort S. 180 - 184).</w:t>
      </w:r>
    </w:p>
    <w:p>
      <w:r>
        <w:rPr>
          <w:b/>
        </w:rPr>
        <w:t>E. 1.2</w:t>
      </w:r>
    </w:p>
    <w:p>
      <w:r>
        <w:t>Verfahrensgegenstand bildet einzig die Frage, ob der Beschwerdeführer mit seinen Straftaten die Voraussetzungen von Art. 5 Anhang I FZA erfüllt. Soweit das Staatssekretariat behauptet, der Beschwerdeführer sei in der Schweiz gar nicht mehr erwerbstätig, da er   weder einer unselbständigen noch einer selbständigen Aktivität nachgehe, weshalb bereits deshalb kein Aufenthaltsanspruch bestehe, handelt es ich um eine neue rechtliche Begründung, die nicht Gegenstand der bisherigen kantonalen Verfahren gebildet hat. Sie kann nicht erstinstanzlich durch das Bundesgericht beurteilt werden, da insofern kein verbindlich festgestellter Sachverhalt vorliegt (vgl. Art. 105 und Art. 112 Abs. 1 BGG ).</w:t>
      </w:r>
    </w:p>
    <w:p>
      <w:r>
        <w:rPr>
          <w:b/>
        </w:rPr>
        <w:t>E. 1.3</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Soweit der Beschwerdeführer bloss seine bereits vor dem Verwaltungsgericht vorgebrachten Ausführungen bzw. seine Sicht der Dinge wiederholt, ohne darzutun, inwiefern dessen Erwägungen Bundesrecht verletzen würden, ist auf seine Vorbringen nicht weiter einzugehen. Da er nicht verfassungsbezogen darlegt, inwiefern die Vorinstanz den entscheidwesentlichen Sachverhalt klar und eindeutig mangelhaft, d.h. willkürlich, festgestellt hat, ist dieser dem vorliegenden Urteil zugrunde zu legen ( Art. 105 BGG ; vgl. BGE 133 II 249 E. 1.2.2 S. 252; 133 III 393 E. 7.1 S. 398). Nicht zu berücksichtigen sind die vom Beschwerdeführer nachgereichten Berichte und Unterlagen zu seiner finanziellen Situation, soweit es sich dabei um unzulässige echte Noven handelt ( Art. 99 Abs. 1 BGG ; vgl. BGE 133 IV 342 E. 2 S. 343 f.).</w:t>
      </w:r>
    </w:p>
    <w:p>
      <w:r>
        <w:rPr>
          <w:b/>
        </w:rPr>
        <w:t>E. 2.1</w:t>
      </w:r>
    </w:p>
    <w:p>
      <w:r>
        <w:t>Die Niederlassungsbewilligung kann widerrufen werden, wenn der Ausländer zu einer längerfristigen Freiheitsstrafe, d.h. zu einer solchen von mehr als einem Jahr, verurteilt worden ist, wobei mehrere unterjährige Strafen nicht zu kumulieren sind (vgl. Art. 63 Abs. 1 lit. a i.V.m. Art. 62 lit. b AuG; BGE 135 II 377 E. 4.2 S. 381; 137 II 297 E. 2). Dabei spielt keine Rolle, ob die Sanktion bedingt, teilbedingt oder unbedingt ausgesprochen wurde (Urteil 2C_515/2009 vom 27. Januar 2010 E. 2.1). Ein Widerruf ist zudem zulässig, wenn der Ausländer in schwerwiegender Weise gegen die öffentliche Sicherheit und Ordnung in der Schweiz oder im Ausland verstossen hat oder diese gefährdet (vgl. Art. 63 Abs. 1 lit. b AuG). Das ist praxisgemäss dann der Fall, wenn er durch seine Handlungen besonders hochwertige Rechtsgüter verletzt oder in Gefahr bringt. Der Widerruf einer Niederlassungsbewilligung ist schliesslich auch schon dann zulässig, wenn der Ausländer sich von strafrechtlichen Massnahmen nicht beeindrucken lässt und damit zeigt, dass er auch künftig weder gewillt noch fähig ist, sich an die Rechtsordnung zu halten, was jeweils im Rahmen einer Gesamtbetrachtung geprüft werden muss ( BGE 137 II 297 E. 3 S. 302 ff.; Urteile 2C_562/ 2011 vom 21. November 2011 E. 3.2 und 2C_310/ 2011 vom 17. November 2011 E. 5).</w:t>
      </w:r>
    </w:p>
    <w:p>
      <w:r>
        <w:rPr>
          <w:b/>
        </w:rPr>
        <w:t>E. 2.2.1</w:t>
      </w:r>
    </w:p>
    <w:p>
      <w:r>
        <w:t>Die genannten Widerrufsgründe gelten auch für ausländische Personen, die sich seit mehr als 15 Jahren ununterbrochen und ordnungsgemäss in der Schweiz aufhalten (Art. 63 Abs. 2 AuG). Sie bilden zudem Voraussetzung für den Widerruf bzw. die Nichtverlängerung von EU/EFTA-Niederlassungsbewilligungen (vgl. Art. 2 Abs. 2 AuG; Art. 5 und 23 Abs. 2 VEP [SR 142.203]; vgl. das Urteil 2C_831/2010 vom 27. Mai 2011 E. 2.2), wobei</w:t>
      </w:r>
    </w:p>
    <w:p>
      <w:r>
        <w:t>zusätzlich jedoch die Vorgaben von Art. 5 Anhang I FZA zu beachten sind. Nach der an die Praxis des EuGH angeglichenen Rechtsprechung des Bundesgerichts setzen Entfernungs- oder Fernhaltemassnahmen in diesem Zusammenhang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Anhang I FZA steht Massnahmen entgegen, die (allein) aus generalpräventiven Gründen verfügt werden (vgl. BGE 130 II 176 E. 3.4 S. 182 ff.; BGE 129 II 215 E. 7 S. 221 ff.; je mit Hinweisen).</w:t>
      </w:r>
    </w:p>
    <w:p>
      <w:r>
        <w:rPr>
          <w:b/>
        </w:rPr>
        <w:t>E. 2.2.2</w:t>
      </w:r>
    </w:p>
    <w:p>
      <w:r>
        <w:t>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Verlangt wird eine nach Art und Ausmass der möglichen Rechtsgüterverletzung zu differenzierende hinreichende Wahrscheinlichkeit, dass der Ausländer künftig die öffentliche Sicherheit und Ordnung erneut stören wird. Je schwerer die möglichen Rechtsgüterverletzungen wiegen, desto niedriger sind die Anforderungen an die freizügigkeitsrechtlich noch in Kauf zu nehmende Rückfallgefahr ( BGE 136 II 5 E. 4.2 S. 20; 130 II 176 E. 4.3.1 S. 186; vgl. auch die Urteile des Bundesgerichts 2C_624/2008 vom 15. Juni 2009 und 2C_15/2009 vom 17. Juni 2009; ZÜND/ARQUINT HILL, § 8 Beendigung der Anwesenheit, Entfernung und Fernhaltung, in: Ausländerrecht, Uebersax/Rudin/Hugi Yar/Geiser [Hrsg.], 2. Aufl. 2009, Rz. 8.38 ff.). Mit dem Erfordernis der</w:t>
      </w:r>
    </w:p>
    <w:p>
      <w:r>
        <w:t>gegenwärtigen Gefährdung ist nicht gemeint, dass weitere Straftaten mit Gewissheit zu erwarten sind oder umgekehrt solche mit Sicherheit auszuschliessen sein müssen ( BGE 130 II 176 E. 4.3.1 S. 186 mit Hinweisen).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das Urteil 2C_406/2014 vom 2. Juli 2015 E. 2.3; BGE 130 II 176 E. 3.4.1 S. 183 f.).</w:t>
      </w:r>
    </w:p>
    <w:p>
      <w:r>
        <w:rPr>
          <w:b/>
        </w:rPr>
        <w:t>E. 2.3.1</w:t>
      </w:r>
    </w:p>
    <w:p>
      <w:r>
        <w:t>Der Beschwerdeführer ist vor der Einreise in die Schweiz in Deutschland zu bedingten Freiheitsstrafen verurteilt worden. Im Jahr 2003 ging es um versuchten Betrug in zwei Fällen, in einem mit Urkundenfälschung, im anderen gemeinschaftlich begangen, und um neunfachen Betrug - davon sieben mit Urkundenfälschung (18 Monate bedingt auf zwei Jahre und sechs Monate). Eine zweite Verurteilung des Beschwerdeführers erfolgte am 25. September 2006 mit 22 Monaten Freiheitsstrafe wegen Steuerhinterziehung in Tateinheit mit Urkundenfälschung in sechs Fällen (Probezeit von 42 Monaten). Bereits mit Blick auf die Höhe der Strafen kann nicht von Bagatelldelikten gesprochen werden, auch wenn der Strafvollzug jeweils bedingt ausgesetzt wurde. Der Beschwerdeführer kam in der Folge als Unselbständigerwerbstätiger in die Schweiz, wo er - statt einen Neustart zu versuchen - seine deliktische Tätigkeit fortsetzte: Zwischen dem 10. Januar 2008 bis zum 4. Dezember 2009 spezialisierte er sich auf Versicherungsbetrügereien gegenüber der Gesellschaft, für die er arbeitete. Er meldete dieser insgesamt sechs Schadensfälle, in denen er durch falsche - teilweise mit gefälschten Urkunden belegte - Tatsachen unrechtmässige Zahlungen in der Höhe von Fr. 4'046.70 und Euro 6'918.66 erwirkte bzw. erfolglos zusätzliche Leistungen von Euro 1'488.57 erhältlich zu machen versuchte. In diesem Zusammenhang wurde er am 26. April 2011 per Strafbefehl sanktioniert. Im Lichte von Art. 5 Anhang I FZA als entscheidend zu werten ist nicht die Schadens- oder Sanktionshöhe, sondern das unverbesserliche Verhalten des Beschwerdeführers und seine regelmässige Rückfälligkeit in Bezug auf Vermögens- und Schriftendelikte, wobei er sich dabei - trotz der Verurteilungen in seiner Heimat - nicht scheute, auch seine Arbeitgeberin mit Falschmeldungen zu täuschen.</w:t>
      </w:r>
    </w:p>
    <w:p>
      <w:r>
        <w:rPr>
          <w:b/>
        </w:rPr>
        <w:t>E. 2.3.2</w:t>
      </w:r>
    </w:p>
    <w:p>
      <w:r>
        <w:t>Mochte es sich im Hinblick auf seine familiäre Situation allenfalls ursprünglich noch rechtfertigen, ihm eine weitere Chance zu geben, sich in der Schweiz zu bewähren, war dies nach dem zweiten Strafbefehl vom 4. August 2014 nicht mehr geboten: Der Beschwerdeführer fälschte als Versicherungsmakler Unterschriften von Personen, die gar keine Versicherung abschliessen bzw. eine solche nicht wechseln wollten. Er erwirkte dadurch Provisionszahlungen zu seinen Gunsten von insgesamt Fr. 2'818.25; im Übrigen verursachte er den Betroffenen, die ihm als Vermittler vertraut hatten, teilweise einen erheblichen Aufwand, um gegenüber den Versicherungsgesellschaften zu belegen, dass ihre Unterschriften auf den Anträgen gefälscht worden sind. Wiederum fällt nicht in erster Linie die Schadenshöhe ins Gewicht, sondern die Unverbesserlichkeit des Beschwerdeführers. Weder die Verurteilungen noch die Beziehung zu seiner nachgezogenen, als Coiffeuse tätigen Frau und seinem Sohn, auf dessen schwierige Situation er verweist, vermochten ihn eines Besseren zu belehren und ihn zu einer korrekten Ausübung seiner Erwerbstätigkeit zu veranlassen. Selbst während der hängigen Straf- und Ausländerverfahren schreckte der Beschwerdeführer nicht davor zurück, wiederum einen Ausweis zu fälschen, um zu einem vermögensrechtlichen Vorteil zu kommen. Der Beschwerdeführer hat das durch das Verwaltungsgericht in seinem Urteil vom 1. Juli 2014 in ihn gesetzte Vertrauen getäuscht, auch wenn es um eine Zusatzstrafe ging und "lediglich" die nachträgliche Fälschung seines Ausländerausweises dabei nicht namhaft ins Gewicht fällt.</w:t>
      </w:r>
    </w:p>
    <w:p>
      <w:r>
        <w:rPr>
          <w:b/>
        </w:rPr>
        <w:t>E. 2.3.3</w:t>
      </w:r>
    </w:p>
    <w:p>
      <w:r>
        <w:t>Vom Beschwerdeführer geht eine in seiner Person (Unverbesserlichkeit) liegende aktuelle konkrete Gefahr für die hiesige (Geschäfts-) Ordnung aus, die im Rahmen von Art. 5 Anhang I FZA nicht mehr hinzunehmen ist, nachdem keine (strafrechtlichen) Warnungen ihn davon abzuhalten vermochten, nicht mehr betrügerisch tätig zu werden. Dies gilt umso mehr, als er nach eigenen Angaben derzeit immer noch als selbständiger Makler bzw. Vermittler und damit in der bisherigen Branche tätig sein will, in der es zu den genannten Straftaten gekommen ist. Seine finanzielle Lage erweist sich als äussert angespannt, wurden gegen ihn doch im Jahr 2014 23 Betreibungen angehoben über Fr. 108'383.70, wobei es zu 20 Pfändungen in der Höhe von Fr. 93'019.75 und 14 Verlustscheinen über Fr. 23'325.65 gekommen ist. Auch in den Vorjahren kam es zu Betreibungen teils über mehrere 100'000.-- Franken (vgl. den Auszug aus dem Betreibungsregister vom 28. Januar 2015). Im Hinblick auf diese Situation durfte die Vorinstanz gestützt auf das bisherige Verhalten des Beschwerdeführers davon ausgehen, dass aufgrund der nach wie vor angespannten finanziellen Situation eine erhöhte Gefahr besteht, dass er sich wieder an Geldern vergreifen könnte, die ihm nicht zustehen, oder sich solche auf Kosten der Kunden unlauter beschafft. Dass ein Ausländer "bloss" wegen Vermögensdelikten verurteilt worden ist, steht Entfernungsmassnahmen im Rahmen des FZA praxisgemäss nicht entgegen ( BGE 134 II 25 E. 4.3.1 S. 29; Urteile 2C_680/2010 vom 18. Januar 2011 E. 2.3 und 2C_200/2013 vom 16. Juli 2013 E. 5.4).</w:t>
      </w:r>
    </w:p>
    <w:p>
      <w:r>
        <w:rPr>
          <w:b/>
        </w:rPr>
        <w:t>E. 2.4</w:t>
      </w:r>
    </w:p>
    <w:p>
      <w:r>
        <w:t>Die entsprechende Massnahme kann auch als verhältnismässig gelten: Der Beschwerdeführer ist nach seiner Straffälligkeit in Deutschland 2006 in die Schweiz gekommen. Er war damals bereits 47-jährig. Seine Angehörigen zog er 2007 (Sohn) bzw. 2008 (Ehegattin) in die Schweiz nach. Mit seiner Heimat blieb er eng verbunden; nach eigenen Angaben lebt eine Tochter noch dort und will er seinen Lebensabend einmal in Deutschland verbringen. Er hat sich regelmässig in seiner Heimat aufgehalten und verfügte dort zumindest über ein eigenes Haus, bevor dieses auf die Schwiegereltern überschrieben wurde. Soweit er darauf hinweist, dass sein Sohn sich in der Schweiz nach wie vor in Ausbildung befinde, übersieht er, dass seine Gattin, welche teilzeitlich als Coiffeuse arbeitet, mit dem Sohn in der Schweiz verbleiben kann, so sie das wollen. Die familiären Beziehungen können aufgrund der geographischen Verhältnisse ohne Weiteres besuchsweise über die Grenze hinweg aufrecht erhalten werden, wie dies bereits 2007 bzw. 2008 bis zum Familiennachzug geschehen ist. Zwar dürfte es dem Beschwerdeführer vorübergehend allenfalls schwer fallen, in seinem Alter eine Arbeitsstelle als unselbständig Erwerbender zu finden; nachdem er aber nach eigenen Angaben in der Schweiz selbständig erwerbstätig sein soll, ist nicht ersichtlich, warum ihm dies nicht auch in seiner Heimat möglich sein sollte.</w:t>
      </w:r>
    </w:p>
    <w:p>
      <w:r>
        <w:rPr>
          <w:b/>
        </w:rPr>
        <w:t>E. 3.1</w:t>
      </w:r>
    </w:p>
    <w:p>
      <w:r>
        <w:t>Der angefochtene Entscheid verletzt nach dem Gesagten kein Bundesrecht. Die Beschwerde ist deshalb abzuweisen, soweit darauf eingetreten werden kann.</w:t>
      </w:r>
    </w:p>
    <w:p>
      <w:r>
        <w:rPr>
          <w:b/>
        </w:rPr>
        <w:t>E. 3.2</w:t>
      </w:r>
    </w:p>
    <w:p>
      <w:r>
        <w:t>Dem Verfahrensausgang entsprechend hat der unterliegende Beschwerdeführer die Kosten des bundesgerichtlichen Verfahrens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