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232/2019 vom 8. März 2019</w:t>
      </w:r>
    </w:p>
    <w:p>
      <w:r>
        <w:t>Bundesgericht, 2019-03-08, FR</w:t>
      </w:r>
    </w:p>
    <w:p>
      <w:r>
        <w:rPr>
          <w:b/>
        </w:rPr>
        <w:t xml:space="preserve">Quelle: </w:t>
      </w:r>
      <w:r>
        <w:t>https://mcp.opencaselaw.ch/entscheid/bger_2C_232_2019</w:t>
      </w:r>
    </w:p>
    <w:p>
      <w:r>
        <w:t>FR: TF 2C 232/2019 du 8 mars 2019</w:t>
      </w:r>
    </w:p>
    <w:p>
      <w:r>
        <w:t>IT: TF 2C 232/2019 del 8 marzo 2019</w:t>
      </w:r>
    </w:p>
    <w:p>
      <w:pPr>
        <w:pStyle w:val="Heading2"/>
      </w:pPr>
      <w:r>
        <w:t>Regeste</w:t>
      </w:r>
    </w:p>
    <w:p>
      <w:r>
        <w:t>Impôts cantonal et communal et impôt fédéral direct de la période fiscale 2014 | Finances publiques &amp; droit fiscal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8 novembre 2018, la Commission de recours en matière fiscale du canton du Valais (ci-après: la Commission de recours) a rejeté le recours que X.________ avait formé à l'encontre d'une décision sur réclamation du Service cantonal des contributions du canton du Valais (ci-après: le Service des contributions) du 23 mai 2017, par laquelle celui-ci avait rejeté ( recte déclaré irrecevable) car tardive une réclamation élevée contre une décision de taxation relative à la période fiscale 2014. A l'appui de sa décision, la Commission de recours a considéré, sur le vu des divers documents médicaux versés au dossier par la recourante, qu'aucun de ceux-ci n'avait trait à la période durant laquelle courrait le délai de réclamation. Elle a donc confirmé l'absence de motifs justifiant une restitution de délai.</w:t>
      </w:r>
    </w:p>
    <w:p>
      <w:r>
        <w:rPr>
          <w:b/>
        </w:rPr>
        <w:t>E. 2</w:t>
      </w:r>
    </w:p>
    <w:p>
      <w:r>
        <w:t>Par courrier du 22 février 2019, posté le 25 février 2019, X.________ demande au Tribunal fédéral de réexaminer les conclusions de la Commission de recours en prenant en compte le fait que son état de santé ne lui a pas permis de donner suite à ses tâches administratives dans les délais.</w:t>
      </w:r>
    </w:p>
    <w:p>
      <w:r>
        <w:rPr>
          <w:b/>
        </w:rPr>
        <w:t>E. 3.1</w:t>
      </w:r>
    </w:p>
    <w:p>
      <w:r>
        <w:t>Par la voie du recours en matière de droit public, la partie recourante ne peut critiquer les constatations de fait ressortant de la décision attaquée que si celles-ci ont été effectuées en violation du droit au sens de l' art. 95 LTF ou de manière manifestement inexacte, c'est-à-dire arbitraire, et si la correction du vice est susceptible d'influer sur le sort de la cause ( art. 97 al. 1 LTF ; ATF 142 II 355 consid. 6 p. 358). Lorsque la partie recourante - comme c'est le cas en l'espèce - s'en prend à l'appréciation des preuves et à l'établissement des faits, la décision n'est arbitraire que si le juge n'a manifestement pas compris le sens et la portée d'un moyen de preuve, s'il a omis, sans raison sérieuse, de tenir compte d'un moyen important propre à modifier la décision attaquée ou encore si, sur la base des éléments recueillis, il a fait des déductions insoutenables ( ATF 142 II 355 consid. 6 p. 358). Toutefois, aux termes de l' art. 106 al. 2 LTF , le Tribunal fédéral n'examine la violation de droits fondamentaux, en particulier l'interdic-tion de l'arbitraire ( art. 9 Cst. ) dans l'appréciation des preuves, que si ce grief a été invoqué et motivé par la partie recourante.</w:t>
      </w:r>
    </w:p>
    <w:p>
      <w:r>
        <w:rPr>
          <w:b/>
        </w:rPr>
        <w:t>E. 3.2</w:t>
      </w:r>
    </w:p>
    <w:p>
      <w:r>
        <w:t>En l'espèce, l'autorité précédente a procédé à l'appréciation des preuves, notamment des déclarations de la recourante et des pièces fournies. Elle a exposé dans la décision attaquée les raisons pour lesquelles elle a confirmé l'absence de motifs permettant la restitution du délai de réclamation. Pour obtenir gain de cause en l'espèce, la recourante devait invoquer l'interdiction de l'arbitraire ancrée à l' art. 9 Cst. et démontrer concrètement en quoi la Commission de recours aurait procédé à des déductions insoutenables. Au lieu de cela, elle se borne à substituer son appréciation des faits à celle de l'autorité précédente, ce qui ne répond pas aux exigences accrues de motivation de l' art. 106 al. 2 LTF .</w:t>
      </w:r>
    </w:p>
    <w:p>
      <w:r>
        <w:rPr>
          <w:b/>
        </w:rPr>
        <w:t>E. 4</w:t>
      </w:r>
    </w:p>
    <w:p>
      <w:r>
        <w:t>Le recours est ainsi manifestement irrecevable ( art. 108 al. 1 let. b LTF ) et doit être traité selon la procédure simplifiée de l' art. 108 LTF , sans qu'il y ait lieu d'ordonner un échange d'écritures. Succombant, la recourante doit supporter les frais judiciaires ( art. 66 al. 1 LTF ). Il n'est pas alloué de dépens ( art. 68 al. 1 et 3 LTF ). 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