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2C_22/2018 vom 5. Juli 2018</w:t>
      </w:r>
    </w:p>
    <w:p>
      <w:r>
        <w:t>Bundesgericht, 2018-07-05, FR</w:t>
      </w:r>
    </w:p>
    <w:p>
      <w:r>
        <w:rPr>
          <w:b/>
        </w:rPr>
        <w:t xml:space="preserve">Quelle: </w:t>
      </w:r>
      <w:r>
        <w:t>https://mcp.opencaselaw.ch/entscheid/bger_2C_22_2018</w:t>
      </w:r>
    </w:p>
    <w:p>
      <w:r>
        <w:t>FR: TF 2C_22/2018 du 5 juillet 2018</w:t>
      </w:r>
    </w:p>
    <w:p>
      <w:r>
        <w:t>IT: TF 2C_22/2018 del 5 luglio 2018</w:t>
      </w:r>
    </w:p>
    <w:p>
      <w:pPr>
        <w:pStyle w:val="Heading2"/>
      </w:pPr>
      <w:r>
        <w:t>Erwägungen</w:t>
      </w:r>
    </w:p>
    <w:p>
      <w:r>
        <w:rPr>
          <w:b/>
        </w:rPr>
        <w:t>E. 1</w:t>
      </w:r>
    </w:p>
    <w:p>
      <w:r>
        <w:t>Dirigé en temps utile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ouvert. Par ailleurs, le Secrétariat d'Etat aux migrations a qualité pour recourir ( art. 89 al. 2 let. a LTF en lien avec l'art. 14 al. 2 de l'Ordonnance du 17 novembre 1999 sur l'organisation du Département fédéral de justice et police [RS 172.213.1]; ATF 134 II 201 consid. 1.1 p. 203).</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141 IV 249 consid. 1.3.1 p. 253; 140 III 264 consid. 2.3 p. 266).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133 IV 286 consid. 6.2 p. 288).</w:t>
      </w:r>
    </w:p>
    <w:p>
      <w:r>
        <w:t>Le recours se fonde sur des faits qui ne sont pas mentionnés dans l'arrêt attaqué. Cependant, cette écriture ne contient pas de grief relatif à une constatation des faits manifestement inexacte. Partant, le Tribunal fédéral statuera sur la base des faits retenus dans l'arrêt entrepris ( art. 105 al. 1 LTF ), sous réserve de ceux complétés d'office ( art. 105 al. 2 LTF ).</w:t>
      </w:r>
    </w:p>
    <w:p>
      <w:r>
        <w:rPr>
          <w:b/>
        </w:rPr>
        <w:t>E. 3</w:t>
      </w:r>
    </w:p>
    <w:p>
      <w:r>
        <w:t>Le litige consiste à déterminer si la Cour de justice a violé l' art. 5 al. 1 annexe I ALCP (RS 0.142.112.681) en jugeant que l'autorisation d'établissement de l'intimé ne devait pas être révoquée.</w:t>
      </w:r>
    </w:p>
    <w:p>
      <w:r>
        <w:rPr>
          <w:b/>
        </w:rPr>
        <w:t>E. 3.1</w:t>
      </w:r>
    </w:p>
    <w:p>
      <w:r>
        <w:t>L'autorité précédente a correctement exposé le droit applicable (art. 63 al. 2 en lien avec l'art. 62 al. 1 let. b LEtr [RS 142.20]; art. 5 al. 1 annexe I ALCP ) et la jurisprudence y relative ( ATF 139 II 121 consid. 5.3 p. 125 s.; 136 II 5 consid. 4.2 p. 20; 130 II 176 consid. 3.4.1 p. 182 et consid. 4.3.1 p. 185), de sorte qu'il y est renvoyé.</w:t>
      </w:r>
    </w:p>
    <w:p>
      <w:r>
        <w:rPr>
          <w:b/>
        </w:rPr>
        <w:t>E. 3.2</w:t>
      </w:r>
    </w:p>
    <w:p>
      <w:r>
        <w:t>Il n'est pas contesté que la condition de la peine privative de longue durée de l'art. 63 al. 2 LEtr en lien avec l'art. 62 al. 1 let. b LEtr, qui permet la révocation de l'autorisation d'établissement, est remplie, l'intimé ayant été condamné à une telle peine de trois ans et neuf mois.</w:t>
      </w:r>
    </w:p>
    <w:p>
      <w:r>
        <w:rPr>
          <w:b/>
        </w:rPr>
        <w:t>E. 3.3</w:t>
      </w:r>
    </w:p>
    <w:p>
      <w:r>
        <w:t>En l'espèce, l'intimé a été condamné pour viol en commun. Il ressort de l'arrêt attaqué que celui-ci a non seulement encouragé son fils handicapé (dont l'âge mental est celui d'un enfant de cinq ans) à avoir un premier rapport sexuel avec une adolescente de seize ans non consentante, mais qu'il l'a également assisté dans cet acte; cela à l'encontre d'une très jeune fille qui était d'autant plus vulnérable qu'elle vivait une situation familiale difficile et qu'elle connaissait l'intimé de vue ( art. 105 al. 2 LTF ). L'intéressé a ainsi totalement failli dans son rôle de père et d'adulte protecteur. La Cour de justice a qualifié le comportement de l'intimé d'ignoble et sa faute de lourde; ses mobiles étaient égoïstes et son action avait porté préjudice tant à la victime qu'à son fils qui, à la suite de ces événements, avait été emprisonné puis placé en institution. S'ajoutait à cela que l'intéressé s'obstinait à nier les faits et n'avait pas pris conscience de la gravité de ses actes, rejetant la faute sur la victime. De plus, six mois seulement après le viol en commun, l'intimé a, dans un état d'ébriété important, frappé sa femme au visage et l'a contrainte à des relations sexuelles. Ces événements d'une extrême gravité ont donné lieu à une peine privative de liberté lourde, à savoir trois ans et neuf mois. En outre, l'intéressé s'en était déjà pris plusieurs fois physiquement à son épouse entre 2009 et 2010, ce qui avait abouti à une première condamnation de nonante jours-amendes avec sursis. Il découle de ce qui précède, que l'intimé ayant porté atteinte à l'intégrité physique et sexuelle de deux victimes, dont une adolescente, dans les conditions décrites ci-dessus, il se justifie de se montrer particulièrement rigoureux dans l'évaluation du risque de récidive, dans le cadre de l' art. 5 al. 1 Annexe I ALCP ; le degré de certitude quant à l'évolution positive de l'intimé doit ainsi être d'autant plus élevé.</w:t>
      </w:r>
    </w:p>
    <w:p>
      <w:r>
        <w:t>L'arrêt attaqué mentionne que le risque de récidive est plurifactoriel: la dépendance à l'alcool, la discorde conjugale et l'attitude générale de l'intimé jouent notamment un rôle à cet égard. Si effectivement, comme le mentionne la Cour de justice, la mésentente entre les époux n'influencera plus l'attitude de l'intéressé, puisque ceux-ci sont aujourd'hui séparés, il en va autrement des deux autres facteurs susmentionnés. On relèvera tout d'abord que, contrairement à ce qu'ont retenu les juges précédents, les infractions commises n'étaient pas toutes en étroite relation avec la dépendance à l'alcool (cf. supra "Faits" let. A.a, jugement du 7 juillet 2014 a contrario). En effet, tel n'était pas le cas de l'infraction la plus grave, à savoir le viol en commun, pour lequel une responsabilité pleine et entière a été retenue par la Cour de justice dans son arrêt du 19 décembre 2104 ( art. 105 al. 2 LTF ). Par conséquent, les éventuels progrès de l'intéressé quant à ses problèmes d'alcool ne sauraient influer de façon déterminante sur l'appréciation du risque de récidive. Précisément en ce qui concerne l'alcool, le rapport médical du 26 décembre 2016 note que "les prises de sang ne montraient pas de prise chronique d'alcool". Il en résulte donc que l'intimé, s'il semble avoir dominé sa consommation excessive, n'est pas pour autant abstinent. Cela étant, l'élément primordial in casu pour l'évaluation du risque de récidive réel et actuel est l'attitude de l'intéressé, élément que la Cour de justice n'a pas pris en considération. Selon le rapport d'expertise du 12 février 2014 et l'audition du médecin, l'intimé ne réalisait absolument pas la gravité des faits commis et l'anormalité de son comportement; de plus, il niait les violences conjugales. Or, aucun élément de l'arrêt attaqué n'atteste une évolution à cet égard. Cette absence de prise de conscience est à elle seule problématique quant au risque de récidive, puisqu'on ne voit pas ce qui empêcherait une personne qui n'appréhende pas la gravité des actes qu'elle a commis de recommencer.</w:t>
      </w:r>
    </w:p>
    <w:p>
      <w:r>
        <w:t>Il découle de ce qui précède que, contrairement à ce qu'a retenu la Cour de justice, l'intimé représente une menace réelle, actuelle et grave au sens de l' art. 5 par. 1 Annexe I ALCP .</w:t>
      </w:r>
    </w:p>
    <w:p>
      <w:r>
        <w:rPr>
          <w:b/>
        </w:rPr>
        <w:t>E. 4</w:t>
      </w:r>
    </w:p>
    <w:p>
      <w:r>
        <w:t>Encore faut-il que la mesure d'éloignement respecte le principe de proportionnalité.</w:t>
      </w:r>
    </w:p>
    <w:p>
      <w:r>
        <w:rPr>
          <w:b/>
        </w:rPr>
        <w:t>E. 4.1</w:t>
      </w:r>
    </w:p>
    <w:p>
      <w:r>
        <w:t>L'examen du principe de proportionnalité applicable dans le cadre de l'Accord sur la libre circulation, du droit conventionnel ( art. 8 par. 2 CEDH ) et du droit interne (5 al. 2 Cst. et art. 96 LEtr) se confond (cf. ATF 139 I 145 consid. 2.2 p. 147; 137 I 284 consid. 2.1 p. 287 s.; 135 II 377 consid. 4.3 p. 38).</w:t>
      </w:r>
    </w:p>
    <w:p>
      <w:r>
        <w:t>La question de savoir si l'intimé peut tirer un droit de l' art. 8 CEDH au regard du handicap de son fils adulte peut rester ouverte, puisque l'analyse ci-dessous mène à la conclusion que l'intérêt public à l'éloignement de celui-ci doit l'emporter sur son intérêt privé à rester en Suisse. L'existence d'un tel droit est néanmoins douteuse: le fils de l'intéressé est placé en institution; celui-ci ne le voit qu'à raison de deux heures tous les quinze jours; la dépendance du fils envers le père est donc loin d'être évidente, celui-là ayant, en outre, plus de contacts avec sa mère.</w:t>
      </w:r>
    </w:p>
    <w:p>
      <w:r>
        <w:rPr>
          <w:b/>
        </w:rPr>
        <w:t>E. 4.2</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p. 33; 139 I 16 consid. 2.2.1 p. 19; 135 II 377 consid. 4.3 p. 381).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139 I 16 consid. 2.2.1 p. 19 ss; 139 I 31 consid. 2.3.1 p. 33 ss).</w:t>
      </w:r>
    </w:p>
    <w:p>
      <w:r>
        <w:rPr>
          <w:b/>
        </w:rPr>
        <w:t>E. 4.3</w:t>
      </w:r>
    </w:p>
    <w:p>
      <w:r>
        <w:t>La faute de l'intimé est lourde et les infractions commises très graves (cf. consid. 3.3 supra). Au demeurant, il s'agit d'infractions pour lesquelles le législateur a entendu se montrer intransigeant (cf. art. 121 al. 3 let. a Cst. et 66a al. 1 let. h CP). Dans ces circonstances, seuls des éléments exceptionnels permettraient de faire pencher la balance en la faveur de l'intéressé.</w:t>
      </w:r>
    </w:p>
    <w:p>
      <w:r>
        <w:t>Il faut retenir que l'intéressé est arrivé en Suisse en 1988, alors âgé d'une vingtaine d'années. Il a donc vécu la majeure partie de sa vie dans notre pays. L'arrêt attaqué ne contient pas d'indication sur la profession de l'intimé. Il mentionne toutefois que celui-ci est arrivé en Suisse en tant que saisonnier et qu'il a aujourd'hui un emploi. Il n'a jamais été à charge de l'aide sociale. L'intimé est intégré professionnellement et socialement. Certes, le long séjour en Suisse de l'intimé rendrait un départ en Espagne difficile et, au regard de son âge, l'intégration professionnelle dans ce pays ne serait pas exempte de difficultés. Toutefois, ce n'est pas un pays qui lui est totalement étranger. Il y a en effet passé toute son enfance et adolescence et il en maîtrise donc la langue et la culture. En ce qui concerne les relations familiales en Suisse, l'intimé, séparé de son épouse, ne peut plus avoir de contact avec elle. Quant à son fils, il est placé en institution. Si l'intéressé lui rend visite régulièrement, ce n'est qu'à raison de deux heures tous les quinze jours. Il est vrai qu'il est peu probable que le fils, compte tenu de son handicap, puisse se rendre en Espagne pour voir son père. Cela ne signifie cependant pas que des liens ne pourraient pas être maintenus par les moyens modernes de communication et que l'intimé ne puisse pas venir rendre visite à son fils en Suisse. Pour l'heure, il n'apparaît pas qu'une interdiction d'entrée ait été prononcée à l'encontre de l'intéressé; et si cela devait être le cas, il pourrait vraisemblablement obtenir des autorisations, afin de venir voir son fils. Un départ de l'intimé représenterait certainement une difficulté à surmonter pour celui-ci, bien que les contacts entre les deux sont limités, mais cet élément, compte tenu des actes répréhensibles en cause, n'est pas suffisant pour contrebalancer l'intérêt public à l'éloignement de l'intimé.</w:t>
      </w:r>
    </w:p>
    <w:p>
      <w:r>
        <w:rPr>
          <w:b/>
        </w:rPr>
        <w:t>E. 4.4</w:t>
      </w:r>
    </w:p>
    <w:p>
      <w:r>
        <w:t>L'intimé invoque l'arrêt 2C_94/2016 du 2 novembre 2016, cas dans lequel un étranger avait pu rester en Suisse alors qu'il avait été condamné à une peine privative de liberté de quatre ans et demi pour, notamment, infractions à la loi fédérale du 3 octobre 1951 sur les stupéfiants et les substances psychotropes et pour lésions corporelles simples. Cette affaire n'est cependant pas comparable à la sienne, puisqu'outre la différence dans les faits commis, l'étranger, dans ladite cause, était né en Suisse, marié à une Suissesse et père d'un enfant en bas âge.</w:t>
      </w:r>
    </w:p>
    <w:p>
      <w:r>
        <w:t>On peut en revanche rapprocher le cas de l'intimé de, notamment, la cause 2C_787/2015 du 29 mars 2016: un ressortissant allemand, d'un âge proche de celui de l'intimé et également au bénéfice d'une autorisation d'établissement, avait été condamné à une peine privative de liberté de vingt-quatre mois pour des actes sexuels sur sa fille; il a dû quitter la Suisse, alors qu'il était né dans ce pays, y avait de la famille et y était intégré socialement et professionnellement (cf. également arrêt 2C_976/2017 du 8 février 2018: peine de deux et neuf mois pour notamment contrainte sexuelle et actes d'ordre sexuel avec des enfants prononcée à l'encontre d'un ressortissant italien).</w:t>
      </w:r>
    </w:p>
    <w:p>
      <w:r>
        <w:rPr>
          <w:b/>
        </w:rPr>
        <w:t>E. 4.5</w:t>
      </w:r>
    </w:p>
    <w:p>
      <w:r>
        <w:t>En conclusion, l'intimé ne peut pas se prévaloir de circonstances exceptionnelles, nécessaires au regard des infractions extrêmement graves commises et de la lourde peine infligée, ce qui conduit à faire primer l'intérêt public à l'éloigner de Suisse sur son intérêt privé à y demeurer.</w:t>
      </w:r>
    </w:p>
    <w:p>
      <w:r>
        <w:rPr>
          <w:b/>
        </w:rPr>
        <w:t>E. 5</w:t>
      </w:r>
    </w:p>
    <w:p>
      <w:r>
        <w:t>Compte tenu de ce qui précède, le recours est admis et l'arrêt du 21 novembre 2017 de la Cour de justice est annulé. Le jugement du 6 février 2017 du Tribunal de première instance est confirmé. Le dossier est renvoyé au Département de la sécurité, afin qu'il fixe un nouveau délai de départ à l'intimé.</w:t>
      </w:r>
    </w:p>
    <w:p>
      <w:r>
        <w:t>Succombant, l'intimé doit supporter les frais judiciaires ( art. 66 al. 1 LTF ). Aucun dépens ne sera alloué au Secrétariat d'Etat aux migrations, qui obtient gain de cause dans l'exercice de ses attributions officielles ( art. 68 al. 1 et 3 LTF ). L'affaire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