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2C_229/2014 vom 20. November 2014</w:t>
      </w:r>
    </w:p>
    <w:p>
      <w:r>
        <w:t>Bundesgericht, 2014-11-20, DE</w:t>
      </w:r>
    </w:p>
    <w:p>
      <w:r>
        <w:rPr>
          <w:b/>
        </w:rPr>
        <w:t xml:space="preserve">Quelle: </w:t>
      </w:r>
      <w:r>
        <w:t>https://mcp.opencaselaw.ch/entscheid/bger_2C_229_2014</w:t>
      </w:r>
    </w:p>
    <w:p>
      <w:r>
        <w:t>FR: TF 2C_229/2014 du 20 novembre 2014</w:t>
      </w:r>
    </w:p>
    <w:p>
      <w:r>
        <w:t>IT: TF 2C_229/2014 del 20 novembre 2014</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der Beschwerdeführer auf eine bestehende Ehe mit seiner niederlassungsberechtigten Ehefrau und somit auf einen grundsätzlichen Bewilligungsanspruch nach Art. 43 AuG (SR 142.20) sowie - zumindest sinngemäss - auf das Recht auf Familienleben nach Art. 8 EMRK bzw. Art. 13 Abs. 1 BV beruft, ist auf sein rechtzeitig eingereichtes Rechtsmittel einzutreten. Ob ihm die begehrte Bewilligung aufgrund der konkreten Umstände tatsächlich zu erteilen ist, bildet eine Frage der nachfolgenden materiellen Beurteilung (vgl. BGE 136 II 177 E. 1.2 S. 180 mit Hinweisen).</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2.1</w:t>
      </w:r>
    </w:p>
    <w:p>
      <w:r>
        <w:t>Gemäss Art. 51 Abs. 2 lit. b AuG erlöschen die Ansprüche nach Art. 43 AuG unter anderem, wenn Widerrufsgründe nach Art. 62 AuG vorliegen. Einen derartigen Widerrufsgrund setzt ein Ausländer insbesondere dann, wenn er zu einer längerfristigen Freiheitsstrafe verurteilt wurde (Art. 62 lit. b AuG). Als längerfristig im Sinne von Art. 62 lit. b AuG gilt eine Freiheitsstrafe, wenn ihre Dauer ein Jahr überschreitet ( BGE 135 II 377 E. 4.2 u. E. 4.5 S. 379 ff.), wobei es keine Rolle spielt, ob die Freiheitsstrafe bedingt, teilbedingt oder unbedingt ausgesprochen wurde (Urteil 2C_515/2009 vom 27. Januar 2010 E. 2.1).</w:t>
      </w:r>
    </w:p>
    <w:p>
      <w:r>
        <w:rPr>
          <w:b/>
        </w:rPr>
        <w:t>E. 2.2</w:t>
      </w:r>
    </w:p>
    <w:p>
      <w:r>
        <w:t>Die Ansprüche nach Art. 43 AuG erlöschen nicht automatisch: Bei gegebenen Voraussetzungen (Vorliegen von Widerrufsgründen [vorne E. 2.1]) rechtfertigt sich die Verweigerung bzw. Nichtverlängerung der Bewilligung nur, wenn die jeweils im Einzelfall vorzunehmende Interessenabwägung die entsprechende Massnahme als verhältnismässig erscheinen lässt, wobei namentlich die Schwere des Verschuldens, der Grad der Integration bzw. die Dauer der bisherigen Anwesenheit sowie die dem Betroffenen und seiner Familie drohenden Nachteile zu berücksichtigen sind (vgl. Art. 96 AuG; BGE 135 II 377 E. 4.3 S. 381 f.).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(vgl. Urteil 2C_1026/2011 vom 23. Juli 2012 E. 3).</w:t>
      </w:r>
    </w:p>
    <w:p>
      <w:r>
        <w:rPr>
          <w:b/>
        </w:rPr>
        <w:t>E. 2.3</w:t>
      </w:r>
    </w:p>
    <w:p>
      <w:r>
        <w:t>Die Notwendigkeit einer Verhältnismässigkeitsprüfung ergibt sich auch aus Art. 8 Ziff. 2 EMRK : Danach ist ein Eingriff in das von Art. 8 Ziff. 1 EMRK geschützte und im vorliegenden Fall betroffene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135 II 377 E. 4.3 S. 381 f.; Urteil 2C_679/2011 vom 21. Februar 2012 E. 3.2 mit weiteren Hinweisen). Zu beachten ist auch die Qualität der sozialen, kulturellen und familiären Beziehungen zum Gast- bzw. zum Heimatland (Urteil 2C_711/2011 vom 27. März 2012 E. 4.2 mit Hinweisen; siehe zum Ganzen auch Urteil des EGMR</w:t>
      </w:r>
    </w:p>
    <w:p>
      <w:r>
        <w:t>Boultif gegen Schweiz vom 2. August 2001 [Nr. 54273/00]). Insofern stimmen die Kriterien nach dem AuG mit denjenigen nach Art. 8 Abs. 2 EMRK überein (vgl. Urteil 2C_117/2012 vom 11. Juni 2012 E. 4.5.1 i.f.) und ergibt sich aus Art. 8 EMRK nichts anderes (Urteil 2C_780/2013 vom 2. Mai 2014 E. 2.2).</w:t>
      </w:r>
    </w:p>
    <w:p>
      <w:r>
        <w:rPr>
          <w:b/>
        </w:rPr>
        <w:t>E. 3</w:t>
      </w:r>
    </w:p>
    <w:p>
      <w:r>
        <w:t>Mit der rechtskräftigen Verurteilung zu einer Freiheitsstrafe von 22 Monaten ist ein gesetzlicher Grund für die Nichtverlängerung der Bewilligung vorliegend unbestrittenermassen erfüllt (Art. 33 Abs. 3 i.V.m. Art. 62 lit. b AuG). Umstritten ist die Verhältnismässigkeit der Massnahme.</w:t>
      </w:r>
    </w:p>
    <w:p>
      <w:r>
        <w:rPr>
          <w:b/>
        </w:rPr>
        <w:t>E. 3.1</w:t>
      </w:r>
    </w:p>
    <w:p>
      <w:r>
        <w:t>Ausgangspunkt und Massstab für die Schwere des Verschuldens sowie die ausländerrechtliche Interessenabwägung ist die vom Strafgericht verhängte Strafe ( BGE 134 II 10 E. 4.2 S. 23; 129 II 215 E. 3.1 S. 216).</w:t>
      </w:r>
    </w:p>
    <w:p>
      <w:r>
        <w:t>Die Vorinstanz hat erwogen, bereits auf Grund der Dauer der Freiheitsstrafe (22 Monate) wegen mehrfacher, teilweise qualifizierter Widerhandlung gegen das Betäubungsmittelgesetz bestehe ein sehr grosses öffentliches Interesse an der Entfernung des Beschwerdeführers aus der Schweiz. Dabei hat das Gericht die vom Beschwerdeführer geltend gemachten, ihn aus seiner Sicht entlastenden Aspekte (Ersttäter bei Drogendelikten, keine überaus hohe Menge an Betäubungsmitteln, keine sehr hohe hierarchische Stellung im Drogenhandel, bedingter Strafvollzug) sorgfältig gewürdigt und ausgeführt, es gebe keine Anhaltspunkte dafür, dass der Strafrichter die genannten Aspekte ausser Acht gelassen hätte. Das Verschulden des Beschwerdeführers wiegt damit schwer, er hat - wie die Vorinstanz zutreffend ausführt - in gravierender Weise gegen die Rechtsordnung verstossen.</w:t>
      </w:r>
    </w:p>
    <w:p>
      <w:r>
        <w:t>Im Weiteren kann der Beschwerdeführer aus dem behaupteten Wohlverhalten seit der - überwiegenden - deliktischen Tätigkeit (2007) nichts zu seinen Gunsten ableiten, darf doch nicht schematisch davon ausgegangen werden, dass nach einem Wohlverhalten von fünf Jahren ein Widerruf bzw. eine Nichtverlängerung der Bewilligung unverhältnismässig wäre (vgl. Urteil 2C_496/2013 vom 15. November 2013 E. 3.4.). Der Beschwerdeführer sass überdies vom 30. November 2010 bis zum 10. Februar 2011 in Untersuchungshaft und wurde später noch einmal wegen eines Betreibungsdelikts verurteilt (vorne lit. A.b.), was das geltend gemachte Wohlverhalten erheblich relativiert.</w:t>
      </w:r>
    </w:p>
    <w:p>
      <w:r>
        <w:t>Auch die persönlichen bzw. familiären Verhältnisse des Betroffenen hat das Verwaltungsgericht ausführlich gewürdigt; in der Beschwerde an das Bundesgericht wird nichts vorgetragen, was die diesbezüglichen Ausführungen im angefochtenen Entscheid (E. 4.3) als bundesrechts- oder konventionswidrig erscheinen lassen könnte.</w:t>
      </w:r>
    </w:p>
    <w:p>
      <w:r>
        <w:rPr>
          <w:b/>
        </w:rPr>
        <w:t>E. 3.2</w:t>
      </w:r>
    </w:p>
    <w:p>
      <w:r>
        <w:t>Was das Fernhalteinteresse anbetrifft, so muss gemäss der bundesgerichtlichen Rechtsprechung bei schweren Straftaten - wozu grundsätzlich Drogendelikte aus rein finanziellen Motiven gehören - selbst ein geringes Restrisiko weiterer Delinquenz nicht in Kauf genommen werden ( BGE 139 I 145 E. 2.5 S. 149 f., 31 E. 2.3.2 S. 34, 16 E. 2.2.1 S. 20; 130 II 176 E. 4.2-4.4 S. 185 ff. mit Hinweisen). Auch der EGMR akzeptiert ausdrücklich, dass bei Betäubungsmitteldelinquenz von einer gewissen Schwere ein strenger Massstab angelegt wird ( BGE 139 I 145 E. 2.5 S. 150 mit Hinweisen auf die Praxis des EGMR). Solche Delikte zählen im Übrigen zu den in Art. 121 Abs. 3 lit. a BV genannten Anlasstaten, deren Begehung dazu führt, dass die ausländische Person ihr Aufenthaltsrecht sowie alle Rechtsansprüche auf Aufenthalt in der Schweiz verliert (zur "praktischen Konkordanz" bei der Anwendung dieser Norm, deren Wertung Rechnung zu tragen ist, soweit kein Widerspruch zu übergeordnetem Recht und gleichwertigen Verfassungsbestimmungen entsteht: BGE 139 I 31 E. 2.3.2 S. 34; Urteile 2C_170/2013 vom 20. Juni 2013 E. 2.3; 2C_1257/2012 vom 18. April 2013 E. 4.5).</w:t>
      </w:r>
    </w:p>
    <w:p>
      <w:r>
        <w:rPr>
          <w:b/>
        </w:rPr>
        <w:t>E. 3.3</w:t>
      </w:r>
    </w:p>
    <w:p>
      <w:r>
        <w:t>Hier fallen nicht nur die vom Beschwerdeführer begangenen Betäubungsmitteldelikte ins Gewicht. Entscheidend ist auch seine relativ kurze Aufenthaltsdauer im Lande, während der er zudem noch anderweitig - wenn auch geringfügiger - delinquierte (vorne lit. A.b). Die Nichtverlängerung seiner Aufenthaltsbewilligung erscheint deshalb nicht unverhältnismässig, zumal er nach den für das Bundesgericht grundsätzlich verbindlichen Sachverhaltsfeststellungen der Vorinstanz (vorne E. 1.2) den weitaus überwiegenden Teil seines Lebens im Kosovo verbracht hat und seine beruflichen Kenntnisse auch in der Heimat verwerten kann. Auch seine Ehefrau, die er im Kosovo geheiratet hat, stammt von dort; sie lebt erst seit dem 12. Altersjahr in der Schweiz, und es sind keine Gründe ersichtlich, die eine Rückkehr für sie und die beiden Kinder - welche sich noch in einem anpassungsfähigen Alter befinden (vgl. Urteil 2C_876/2013 vom 18. November 2013 E. 3.7 mit Hinweis auf BGE 135 I 143 E. 2.2 S. 147) - als unzumutbar erscheinen lassen könnten.</w:t>
      </w:r>
    </w:p>
    <w:p>
      <w:r>
        <w:t>Ergänzend ist darauf hinzuweisen, dass das deliktische Verhalten die Erteilung einer neuen Aufenthaltsbewilligung für den Beschwerdeführer nicht zwingend ein für alle Mal verunmöglicht. Sollte sich seine Ehefrau dafür entscheiden, zusammen mit den Kindern in der Schweiz zu verbleiben - wobei diesfalls das Familienleben besuchsweise und mit den heute zur Verfügung stehenden Kommunikationsmitteln gepflegt würde - , kann unter gewissen Voraussetzungen nach einer angemessenen Bewährungsdauer des Ehemannes im Heimatland eine Neubeurteilung durch die zuständigen Migrationsbehörden angezeigt sein (vgl. dazu eingehend Urteil 2C_1170/2012 vom 24. Mai 2013 E. 3 mit Hinweisen).</w:t>
      </w:r>
    </w:p>
    <w:p>
      <w:r>
        <w:rPr>
          <w:b/>
        </w:rPr>
        <w:t>E. 4</w:t>
      </w:r>
    </w:p>
    <w:p>
      <w:r>
        <w:t>Die Beschwerde erweist sich als unbegründet und ist abzuweisen.</w:t>
      </w:r>
    </w:p>
    <w:p>
      <w:r>
        <w:t>Bei diesem Ausgang trägt der Beschwerdeführer die Kosten des Verfahrens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