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225/2007 vom 3. Dezember 2007</w:t>
      </w:r>
    </w:p>
    <w:p>
      <w:r>
        <w:t>Bundesgericht, 2007-12-03, DE</w:t>
      </w:r>
    </w:p>
    <w:p>
      <w:r>
        <w:rPr>
          <w:b/>
        </w:rPr>
        <w:t xml:space="preserve">Quelle: </w:t>
      </w:r>
      <w:r>
        <w:t>https://mcp.opencaselaw.ch/entscheid/bger_2C_225_2007</w:t>
      </w:r>
    </w:p>
    <w:p>
      <w:r>
        <w:t>FR: TF 2C 225/2007 du 3 décembre 2007</w:t>
      </w:r>
    </w:p>
    <w:p>
      <w:r>
        <w:t>IT: TF 2C 225/2007 del 3 dicembre 2007</w:t>
      </w:r>
    </w:p>
    <w:p>
      <w:pPr>
        <w:pStyle w:val="Heading2"/>
      </w:pPr>
      <w:r>
        <w:t>Regeste</w:t>
      </w:r>
    </w:p>
    <w:p>
      <w:r>
        <w:t>Familiennachzug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Gemäss Art. 17 Abs. 2 ANAG hat der ausländische Ehegatte eines niedergelassenen Ausländers Anspruch auf Erteilung und Verlängerung der Aufenthaltsbewilligung, solange die Ehegatten zusammen wohnen. Da der Ehemann B.________ mit seiner in der Schweiz niederlassungsberechtigten Ehefrau zusammen wohnt, hat er grundsätzlich einen Anspruch auf Erteilung der Aufenthaltsbewilligung. Ein analoger Anspruch besteht zudem aufgrund von Art. 8 EMRK : Diese Konventionsbestimmung garantiert den Schutz des (Privat- und) Familienlebens, wenn nahe Angehörige - hier die Ehefrau - über ein gefestigtes Anwesenheitsrecht in der Schweiz verfügen und die familiäre Beziehung tatsächlich gelebt wird und intakt ist (statt vieler: BGE 130 II 281 E. 3.1 S. 285 f.). Dass es sich vorliegend um eine gelebte Ehe handelt, wird von keiner Seite in Frage gestellt. Auf die Beschwerde ist daher einzutreten.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 Der erst im bundesgerichtlichen Verfahren beigebrachte Arbeitsvertrag vom 22. Mai 2007 zwischen der Genossenschaft X.________ und A.________ ist insoweit unbeachtlich.</w:t>
      </w:r>
    </w:p>
    <w:p>
      <w:r>
        <w:rPr>
          <w:b/>
        </w:rPr>
        <w:t>E. 2</w:t>
      </w:r>
    </w:p>
    <w:p>
      <w:r>
        <w:t>Nach der bundesgerichtlichen Rechtsprechung ( BGE 119 Ib 81 E. 2d S. 87; 122 II 1 E. 3c S. 8 f.) darf der Familiennachzug verweigert werden, wenn der Gesuchsteller umgehend wieder ausgewiesen werden dürfte, d.h. wenn ein Ausweisungsgrund im Sinne von Art. 10 Abs. 1 ANAG besteht wie beispielsweise Fürsorgebedürftigkeit nach Art. 10 Abs. 1 lit. d ANAG . Voraussetzung für eine Verweigerung des Nachzugs ist in diesem Fall, dass konkret die Gefahr einer fortgesetzten und erheblichen Fürsorgeabhängigkeit besteht; blosse finanzielle Bedenken genügen nicht ( BGE 125 II 333 E. 3c mit Hinweisen). Als Hindernis für den Familiennachzug des Ehemannes wird seitens der kantonalen Behörden vorliegend eine derartige, konkret drohende Fürsorgeabhängigkeit geltend gemacht.</w:t>
      </w:r>
    </w:p>
    <w:p>
      <w:r>
        <w:rPr>
          <w:b/>
        </w:rPr>
        <w:t>E. 3.1</w:t>
      </w:r>
    </w:p>
    <w:p>
      <w:r>
        <w:t>Die Beschwerdeführer rügen, das Verwaltungsgericht habe den Sachverhalt qualifiziert unrichtig festgestellt. Seit der Geburt des Kindes bestehe ganz offensichtlich eine enge Beziehung zwischen diesem Kind und dem Vater, was das Gericht in "keiner noch so minimalen Weise" zur Abwägung bringe. Im Übrigen sei es nicht so, dass der Beschwerdeführer eine bewilligte Stelle nicht angetreten habe, sondern er habe einmal eine Stelle im Kanton Zürich verloren. Dieser Umstand sei bei einer Rückweisung der Streitsache abzuklären; ebenso würde die sich durch den Arbeitsvertrag mit der Genossenschaft X.________ ergebende Veränderung der Einkommens- und Vermögensverhältnisse "ungesäumt mitgeteilt".</w:t>
      </w:r>
    </w:p>
    <w:p>
      <w:r>
        <w:rPr>
          <w:b/>
        </w:rPr>
        <w:t>E. 3.2.1</w:t>
      </w:r>
    </w:p>
    <w:p>
      <w:r>
        <w:t>Im Zeitpunkt des angefochtenen Urteils, auf den es vorliegend ankommt (vgl. E. 1.3), war die nachzugsberechtigte Ehefrau unbestrittenermassen fürsorgeabhängig und nicht in der Lage, ihren Lebensunterhalt (und den ihres Kindes) aus eigenen Mitteln zu bestreiten. Sie bezog im Jahre 2004 ein IV-Taggeld, bevor sie - erfolglos (Nichteinhaltung eines Beratungstermins) - um Arbeitslosenentschädigung nachsuchte. Weder aus dem angefochtenen Urteil noch aus den Akten geht indessen ausreichend hervor, was es mit dieser Situation für eine Bewandtnis hatte und wieso die bisherigen Stellenbewerbungen der Ehefrau offenbar alle erfolglos geblieben waren. Diese Umstände besitzen bei der Beurteilung, ob der Familie konkret die Gefahr einer fortgesetzten und erheblichen Fürsorgeabhängigkeit droht, hohes Gewicht.</w:t>
      </w:r>
    </w:p>
    <w:p>
      <w:r>
        <w:rPr>
          <w:b/>
        </w:rPr>
        <w:t>E. 3.2.2</w:t>
      </w:r>
    </w:p>
    <w:p>
      <w:r>
        <w:t>Entscheidend ist alsdann, ob der am 24. Mai 2005 geehelichte Landsmann, der im Jahre 2004 als Asylgesuchsteller in die Schweiz gekommen war und von dem das am 20. Februar 2006 geborene Kind stammt (vgl. vorne "A."), durch eigenen Erwerb für den Unterhalt der Familie aufkommen kann oder ob sich das Risiko der Belastung des Gemeinwesens durch Fürsorgeleistungen mit der Erteilung einer Aufenthaltsbewilligung an diesen noch vergrössert. Zwar hat die Ehefrau als Niedergelassene grundsätzlich einen Anspruch auf Nachzug ihres Ehemannes, sofern kein Ausweisungsgrund vorliegt, der die Verweigerung des Nachzuges als verhältnismässig erscheinen lässt (vorne E. 2). Die jetzige Fürsorgeabhängigkeit darf durch den Nachzug des Ehemannes aber jedenfalls nicht verschärft werden.</w:t>
      </w:r>
    </w:p>
    <w:p>
      <w:r>
        <w:rPr>
          <w:b/>
        </w:rPr>
        <w:t>E. 3.2.3</w:t>
      </w:r>
    </w:p>
    <w:p>
      <w:r>
        <w:t>B.________ hat keine Berufsausbildung und spricht nicht Deutsch. Es ist, wie das Verwaltungsgericht zutreffend angenommen hat, recht ungewiss, ob er in absehbarer Zeit eine Stelle findet, durch die er zum Lebensunterhalt der Familie massgeblich beitragen kann. Eine blosse Teilzeitstelle, wie sie ihm angeboten worden war (vgl. S. 9 des angefochtenen Entscheides), bildet keine ausreichende Grundlage. Andererseits erlauben die vorhandenen Akten noch nicht den Schluss, dass es ihm zum Vornherein am erforderlichen Arbeitswillen fehle. Die Aktennotiz, worauf das Verwaltungsgericht sich stützt (wonach der Ehemann eine ihm während des Asylverfahrens bewilligte Arbeitsstelle "nicht angetreten" habe), reicht als Beleg hiefür noch nicht aus; allerdings ist auch die gegenteilige Darstellung in der Beschwerdeschrift, wonach er die Stelle "verloren" habe, wenig aussagekräftig. Letztlich kann die Frage seines Arbeitswillens erst aufgrund seines tatsächlichen Verhaltens nach Erteilung einer Aufenthaltsbewilligung beantwortet werden. Es ist nicht ausgeschlossen, dass der Ehemann, welcher offenbar in der Türkei als "Barmann" tätig gewesen war, als Gehilfe bzw. Angestellter eines Restaurationsbetriebes ein Einkommen erzielen könnte, durch welches die jetzige Fürsorgelast für das Gemeinwesen zumindest verringert wird. Bei einer Verweigerung der Aufenthaltsbewilligung für den Ehemann würde sich an der Fürsorgeabhängigkeit von Mutter und Kind voraussichtlich wenig ändern; im anderen Falle dagegen besteht zumindest die Möglichkeit, dass der Ehemann zur Verringerung der Fürsorgeleistungen beitragen kann oder solche überhaupt wegfallen. Allerdings lässt sich auch das Risiko, dass das Ehepaar bei einem Verbleib des Ehemannes weitere Kinder zeugt, ohne selber für ein entsprechendes Einkommen zu sorgen - womit die Fürsorgelast noch vergrössert wird -, nicht von der Hand weisen.</w:t>
      </w:r>
    </w:p>
    <w:p>
      <w:r>
        <w:rPr>
          <w:b/>
        </w:rPr>
        <w:t>E. 3.3</w:t>
      </w:r>
    </w:p>
    <w:p>
      <w:r>
        <w:t>Eine vorbehaltlose Verweigerung der Aufenthaltsbewilligung erweist sich nach dem heutigen Stand der Dinge im Lichte von Art. 8 EMRK aber als unverhältnismässig, zumal der Beschwerdeführerin, die bereits im Kindesalter in die Schweiz gekommen war und in den Flüchtlingsstatus ihrer Mutter einbezogen wurde, eine Führung des Ehelebens in der Türkei schwerlich zugemutet werden kann. Es erscheint vielmehr geboten, dass die zuständige Behörde die anbegehrte Aufenthaltsbewilligung - im Sinne einer Probezeit - für die Dauer eines Jahres erteilt, um dem Ehemann Gelegenheit zu geben, durch eigene Arbeit zum Unterhalt der Familie massgeblich beizutragen. Sollte ihm dies, sei es mangels Arbeitswillens oder mangels geeigneter Stellen, nicht gelingen, darf der Kanton nach Massgabe der damaligen Sach- und Rechtslage eine Verlängerung der Aufenthaltsbewilligung ablehnen und müssen die Betroffenen die damit verbundenen Konsequenzen in Kauf nehmen.</w:t>
      </w:r>
    </w:p>
    <w:p>
      <w:r>
        <w:rPr>
          <w:b/>
        </w:rPr>
        <w:t>E. 4</w:t>
      </w:r>
    </w:p>
    <w:p>
      <w:r>
        <w:t>Die Beschwerde ist in diesem Sinne teilweise gutzuheissen und der angefochtene Entscheid aufzuheben. Die Sache ist zu neuem Entscheid im Sinne der Erwägungen an das Ausländeramt des Kantons St. Gallen zurückzuweisen ( Art. 107 Abs. 2 BGG ). Sache des Verwaltungsgerichts wird es sein, über die Kosten des kantonalen Rechtsmittelverfahrens neu zu entscheiden. Bei diesem Verfahrensausgang sind keine Kosten zu erheben ( Art. 66 Abs. 4 BGG ). Das Gesuch um unentgeltliche Rechtspflege ist als gegenstandslos geworden abzuschreiben. Ein Anlass, den nicht anwaltlich verbeiständeten, durch eine Rechtsberatungsstelle für Asylsuchende vertretenen Beschwerdeführern eine Parteientschädigung zuzusprechen, besteht vorliegend nicht ( Art. 68 Abs. 2 BGG in Verbindung mit Art. 9 des Reglements vom 31. März 2006 über die Parteientschädigung und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