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2C_224/2008 vom 1. April 2009</w:t>
      </w:r>
    </w:p>
    <w:p>
      <w:r>
        <w:t>Bundesgericht, 2009-04-01, DE</w:t>
      </w:r>
    </w:p>
    <w:p>
      <w:r>
        <w:rPr>
          <w:b/>
        </w:rPr>
        <w:t xml:space="preserve">Quelle: </w:t>
      </w:r>
      <w:r>
        <w:t>https://mcp.opencaselaw.ch/entscheid/bger_2C_224_2008</w:t>
      </w:r>
    </w:p>
    <w:p>
      <w:r>
        <w:t>FR: TF 2C_224/2008 du 1 avril 2009</w:t>
      </w:r>
    </w:p>
    <w:p>
      <w:r>
        <w:t>IT: TF 2C_224/2008 del 1 aprile 2009</w:t>
      </w:r>
    </w:p>
    <w:p>
      <w:pPr>
        <w:pStyle w:val="Heading2"/>
      </w:pPr>
      <w:r>
        <w:t>Erwägungen</w:t>
      </w:r>
    </w:p>
    <w:p>
      <w:r>
        <w:rPr>
          <w:b/>
        </w:rPr>
        <w:t>E. 1.1</w:t>
      </w:r>
    </w:p>
    <w:p>
      <w:r>
        <w:t>Die drei Beschwerden betreffen zusammenhängende Fragen in derselben Streitsache mit den gleichen Beteiligten. Es rechtfertigt sich, die Verfahren zu vereinigen und mit einem gemeinsamen Urteil zu erledigen (vgl. Art. 24 BZP i.V.m. Art. 71 BGG ; BGE 113 Ia 390 E. 1 S. 394).</w:t>
      </w:r>
    </w:p>
    <w:p>
      <w:r>
        <w:rPr>
          <w:b/>
        </w:rPr>
        <w:t>E. 1.2</w:t>
      </w:r>
    </w:p>
    <w:p>
      <w:r>
        <w:t>Die Eingaben richten sich gegen letztinstanzliche kantonale Urteile in einer Angelegenheit des öffentlichen Rechts. Diese Urteile unterliegen hinsichtlich der Staats- wie auch der Bundessteuer der Beschwerde in öffentlich-rechtlichen Angelegenheiten (vgl. Art. 82 Abs. 1 lit. a und 86 Abs. 1 lit. d BGG, siehe auch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t>II. Direkte Bundessteuer</w:t>
      </w:r>
    </w:p>
    <w:p>
      <w:r>
        <w:rPr>
          <w:b/>
        </w:rPr>
        <w:t>E. 2</w:t>
      </w:r>
    </w:p>
    <w:p>
      <w:r>
        <w:t>Gemäss Art. 18 Abs. 1 DBG sind alle Einkünfte aus einem Handels-, Industrie-, Gewerbe-, Land- und Forstwirtschaftsbetrieb, aus einem freien Beruf sowie aus jeder anderen selbständigen Erwerbstätigkeit steuerbar. Auf diese Bestimmung haben sich die kantonalen Behörden im Wesentlichen gestützt, um einen steuerbaren Vermögenszugang anzunehmen. Die Beschwerdeführer wenden sich gegen die Nacherfassung des Forderungsverzichts beim steuerbaren Einkommen ihrer Einzelfirma und berufen sich im Wesentlichen auf dieselben beiden Argumente wie im kantonalen Verfahren:</w:t>
      </w:r>
    </w:p>
    <w:p>
      <w:r>
        <w:rPr>
          <w:b/>
        </w:rPr>
        <w:t>E. 2.1</w:t>
      </w:r>
    </w:p>
    <w:p>
      <w:r>
        <w:t>Unzutreffend ist ihr Einwand, das von ihrer Mutter bzw. Schwiegermutter erhaltene Darlehen sei eine Privatschuld gewesen, so dass sich aus dem Schulderlass kein Geschäftseinkommen ergeben könne. Dabei lassen sie ausser Acht, dass sie das Darlehen in ihrer Buchhaltung selber als Geschäftsschuld behandelt haben, worauf sie sich behaften lassen müssen.</w:t>
      </w:r>
    </w:p>
    <w:p>
      <w:r>
        <w:rPr>
          <w:b/>
        </w:rPr>
        <w:t>E. 2.2</w:t>
      </w:r>
    </w:p>
    <w:p>
      <w:r>
        <w:t>Eine eingehendere Prüfung des ersten Arguments erübrigt sich umso mehr, als sich das zweite Vorbringen der Beschwerdeführer als stichhaltig erweist. Nach Art. 24 lit. a DBG ist u.a. der Vermögensanfall infolge Schenkung steuerfrei. Diese Bestimmung schliesst Schenkungen zugunsten eines Selbständigerwerbenden nicht aus. Wie sich aus Art. 60 lit. c DBG ergibt, sind sogar Schenkungen zuhanden von juristischen Personen denkbar. Praxisgemäss sind Forderungsverzichte seitens der Gläubiger zwar gegebenenfalls als einkommens- bzw. ertragserhöhend zu qualifizieren, wenn es sich um Leistungen unbeteiligter Dritter handelt (vgl. BGE 115 Ib 269 E. 4b S. 272 f. mit Hinweisen). Hier war die Darlehensgeberin indessen die Mutter bzw. Schwiegermutter der Beschwerdeführer, so dass stattdessen von einem schenkungshalber erfolgten Schuldenerlass auszugehen war. Das ist bei einer unentgeltlichen Zuwendung unter nahen Verwandten zu vermuten, im Gegensatz z.B. zu einem Forderungsverzicht durch eine Bank (vgl. RDAF 2099 II S. 34 E. 2). Ein anderer Rechtsgrund für den Schuldenerlass ist unter den gegebenen Umständen kaum denkbar und von den Behörden auch nicht dargetan. Insbesondere waren die Beschwerdeführer nicht überschuldet, so dass es sich nicht um den Verzicht auf eine ohnehin schon wertlos gewordene Forderung handeln konnte. Ebenso wenig fällt ins Gewicht, dass die Beschwerdeführer die Schenkung im Wertschriftenverzeichnis bzw. im Rückerstattungsantrag 2001 nicht erwähnt haben, und zwar unabhängig davon, ob ihnen die rechtliche Qualifizierung des Forderungsverzichts entgangen war. Entscheidend ist in erster Linie die Absicht der Darlehensgeberin. Diesbezüglich können hier keine wirklichen Zweifel bestehen.</w:t>
      </w:r>
    </w:p>
    <w:p>
      <w:r>
        <w:t>Was die kantonalen Behörden dagegen einwenden, vermag ein anderes Ergebnis nicht zu rechtfertigen: Namentlich vermag folgendes Argument der Vorinstanz nicht zu überzeugen: "Die Aufrechnung des (Rück-)Forderungsverzichts hat ihren Rechtsgrund in der schuldenseitig veranlassten Passivierung des Darlehens und nicht in der (gegebenenfalls) erb- oder schenkungsrechtlichen Natur des empfangenen Vermögensanfalls." (E. 4.3 des angefochtenen Urteils, S. 8). Massgeblich ist hier die Auflösung und nicht die Begründung des Darlehens. Ein Schuldenerlass durch Schenkung ist - wie schon hervorgehoben - selbst bei einem geschäftlichen Darlehen durchaus möglich und hier sogar zwingend anzunehmen.</w:t>
      </w:r>
    </w:p>
    <w:p>
      <w:r>
        <w:rPr>
          <w:b/>
        </w:rPr>
        <w:t>E. 2.3</w:t>
      </w:r>
    </w:p>
    <w:p>
      <w:r>
        <w:t>Erweist sich die Beschwerde somit als begründet, erübrigt sich, näher auf die zum ersten Mal vor Bundesgericht erhobenen Rüge einzugehen, die Voraussetzungen für ein Nachsteuerverfahren seien nicht erfüllt gewesen. Es kann auch offen bleiben, ob insoweit auf die Beschwerde überhaupt eingetreten werden kann (vgl. oben E. 1.3 in fine).</w:t>
      </w:r>
    </w:p>
    <w:p>
      <w:r>
        <w:t>III. Staatssteuer</w:t>
      </w:r>
    </w:p>
    <w:p>
      <w:r>
        <w:rPr>
          <w:b/>
        </w:rPr>
        <w:t>E. 3</w:t>
      </w:r>
    </w:p>
    <w:p>
      <w:r>
        <w:t>In der kantonalen Steuergesetzgebung und im Harmonisierungsgesetz werden die hier massgeblichen Bestimmungen im Wesentlichen gleich umschrieben wie für die direkte Bundessteuer. Das gilt namentlich für die Vorschriften, welche den Vermögensanfall infolge von Schenkung für steuerfrei erklären (vgl. Art. 7 Abs. 4 lit. c StHG , Art. 27 lit. a des kantonalen Steuergesetzes vom 21. Mai 2000 und Art. 19 Abs. 1 Ziff. 3 des früheren kantonalen Steuergesetzes vom 27. April 1958). Im Interesse der vertikalen Steuerharmonisierung (vgl. dazu BGE 133 II 114 E. 3.2 S. 116) sind diese Bestimmungen übereinstimmend auszulegen. In Bezug auf die Staats- und Gemeindesteuer ist daher im Einklang mit dem zur direkten Bundessteuer Gesagten zu entscheiden.</w:t>
      </w:r>
    </w:p>
    <w:p>
      <w:r>
        <w:t>IV. Kostenauflage im Nachsteuerverfahren</w:t>
      </w:r>
    </w:p>
    <w:p>
      <w:r>
        <w:rPr>
          <w:b/>
        </w:rPr>
        <w:t>E. 4</w:t>
      </w:r>
    </w:p>
    <w:p>
      <w:r>
        <w:t>Im Verfahren 2C_226/2008 bringen die Beschwerdeführer vor, die Kosten des Nachsteuerverfahrens seien ihnen zu Unrecht auferlegt worden. Auch diesbezüglich ist zumindest zweifelhaft, ob auf die Beschwerde überhaupt eingetreten werden kann. Die Kostenauflage ist eine Frage des kantonalen Rechts, so dass die Beschwerdeführer eine geradezu willkürliche Rechtsanwendung nachweisen müssten. Die Beschwerdebegründung genügt dieser qualifizierten Rügepflicht (vgl. dazu oben E. 1.4) auf jeden Fall nur teilweise; sie erfolgt in kaum substantiierter Weise und beschränkt sich im Wesentlichen darauf, den Ausführungen der Vorinstanz eine abweichende Sichtweise entgegenzusetzen.</w:t>
      </w:r>
    </w:p>
    <w:p>
      <w:r>
        <w:t>Soweit sich die Beschwerde trotzdem als zulässig erweisen könnte, wäre sie unbegründet. Die Beschwerdeführer übersehen, dass es für die Kostenauflage nur darauf ankommt, ob sie das Verfahren verschuldet haben, nicht aber darauf, ob auch tatsächlich eine Nachsteuer erhoben wird. Die Annahme der Vorinstanz, dass die Beschwerdeführer durch die Art und Weise der Verbuchung des Forderungsverzichts und die unterbliebene Deklaration dieses Vorgangs als Schenkung unklare Verhältnisse geschaffen und insofern das Nachsteuerverfahren verschuldet haben, erscheint auf jeden Fall als vertretbar. Die Rüge, das Nachsteuerverfahren sei noch nicht abgeschlossen, geht an der Sache vorbei. Das Gleiche gilt für den Hinweis auf die Rechtsprechung zur Kostenauflage bei Freispruch oder Einstellung im Strafverfahren, wird doch den Beschwerdeführern doch kein strafbares Verhalten (und namentlich keine Steuerhinterziehung) vorgeworfen. Wenn sich das Verwaltungsgericht nicht ausdrücklich zu diesem offensichtlich unzutreffenden Argument geäussert und es nur implizit verworfen hat, kann ihm keine Gehörsverweigerung vorgeworfen werden.</w:t>
      </w:r>
    </w:p>
    <w:p>
      <w:r>
        <w:t>V. Kostenfolge</w:t>
      </w:r>
    </w:p>
    <w:p>
      <w:r>
        <w:rPr>
          <w:b/>
        </w:rPr>
        <w:t>E. 5</w:t>
      </w:r>
    </w:p>
    <w:p>
      <w:r>
        <w:t>Nach dem Gesagten sind die Beschwerden 2C_224/2008 und 2C_225/2008 gutzuheissen, soweit darauf eingetreten werden kann. Die betreffenden Urteile des Verwaltungsgerichts sind aufzuheben und die Sachen zur Neuveranlagung im Sinne der Erwägungen an die Veranlagungsbehörde sowie zur Neubeurteilung der Kostenfolgen der kantonalen Verfahren an die Vorinstanz zurückzuweisen. Die Beschwerde 2C_226/22008 ist dagegen abzuweisen, soweit darauf einzutreten ist.</w:t>
      </w:r>
    </w:p>
    <w:p>
      <w:r>
        <w:t>Bei diesem Ausgang sind die Kosten der Verfahren 2C_224/2008 und 2C_225/2008 dem Kanton Appenzell Ausserrhoden, der Vermögensinteressen wahrnimmt, aufzuerlegen. Er hat den rechtsanwaltlich vertretenen Beschwerdeführern in beiden Fällen eine Parteientschädigung auszurichten. Die Kosten des Verfahrens 2C_226/2008 sind dagegen den Beschwerdeführern unter Solidarhaft aufzuerlegen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