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2C_223/2015 vom 17. September 2015</w:t>
      </w:r>
    </w:p>
    <w:p>
      <w:r>
        <w:t>Bundesgericht, 2015-09-17, FR</w:t>
      </w:r>
    </w:p>
    <w:p>
      <w:r>
        <w:rPr>
          <w:b/>
        </w:rPr>
        <w:t xml:space="preserve">Quelle: </w:t>
      </w:r>
      <w:r>
        <w:t>https://mcp.opencaselaw.ch/entscheid/bger_2C_223_2015</w:t>
      </w:r>
    </w:p>
    <w:p>
      <w:r>
        <w:t>FR: TF 2C_223/2015 du 17 septembre 2015</w:t>
      </w:r>
    </w:p>
    <w:p>
      <w:r>
        <w:t>IT: TF 2C_223/2015 del 17 settembre 2015</w:t>
      </w:r>
    </w:p>
    <w:p>
      <w:pPr>
        <w:pStyle w:val="Heading2"/>
      </w:pPr>
      <w:r>
        <w:t>Erwägungen</w:t>
      </w:r>
    </w:p>
    <w:p>
      <w:r>
        <w:rPr>
          <w:b/>
        </w:rPr>
        <w:t>E. 1.1</w:t>
      </w:r>
    </w:p>
    <w:p>
      <w:r>
        <w:t>Le recours est dirigé contre un jugement final (cf. art. 90 LTF ) rendu dans une cause de droit public (cf. art. 82 let. a LTF ) par un tribunal cantonal supérieur (cf. art. 86 al. 1 let . d et al. 2 LTF).</w:t>
      </w:r>
    </w:p>
    <w:p>
      <w:r>
        <w:rPr>
          <w:b/>
        </w:rPr>
        <w:t>E. 1.2</w:t>
      </w:r>
    </w:p>
    <w:p>
      <w:r>
        <w:t>En vertu de l'art. 14 al. 2 de l'ordonnance fédérale du 17 novembre 1999 sur l'organisation du Département fédéral de justice et police (Org DFJP; RS 172.213.1), le Secrétariat aux migrations a qualité pour recourir devant le Tribunal fédéral (cf. art. 89 al. 2 let. a LTF ), dans les domaines du droit des étrangers et de la nationalité, contre des décisions cantonales de dernière instance.</w:t>
      </w:r>
    </w:p>
    <w:p>
      <w:r>
        <w:rPr>
          <w:b/>
        </w:rPr>
        <w:t>E. 1.3</w:t>
      </w:r>
    </w:p>
    <w:p>
      <w:r>
        <w:t>Le recours en matière de droit public est recevable contre les décisions révoquant, comme en l'espèce, une autorisation d'établissement parce qu'il existe en principe un droit au maintien de cette autorisation ( ATF 135 II 1 consid. 1.2.1 p. 4). Au surplus, en sa qualité de ressortissant français, l'intimé peut prétendre à un titre de séjour en Suisse, en vertu de l'Accord du 21 juin 1999 entre la Confédération suisse, d'une part, et la Communauté européenne et ses Etats membres, d'autre part, sur la libre circulation des personnes (Accord sur la libre circulation des personnes, ALCP; RS 0.142.112.681; cf. ATF 136 II 177 consid. 1.1 p. 179 s.; 129 II 249 consid. 4 p. 258 ss). Il peut également prétendre à la protection de la vie de famille tiré de l' art. 8 CEDH . La présente cause ne tombe ainsi pas sous le coup de l' art. 83 let . c ch. 2 LTF, ni d'aucune autre clause d'irrecevabilité figurant à l' art. 83 LTF . Partant, la voie du recours en matière de droit public est ouverte.</w:t>
      </w:r>
    </w:p>
    <w:p>
      <w:r>
        <w:rPr>
          <w:b/>
        </w:rPr>
        <w:t>E. 2</w:t>
      </w:r>
    </w:p>
    <w:p>
      <w:r>
        <w:t>Aux termes de l' art. 97 al. 1 LTF , le recours ne peut critiquer les constatations de fait que si les faits ont été établis de façon manifestement inexacte ou en violation du droit au sens de l'art. 95, et si la correction du vice est susceptible d'influer sur le sort de la cause, ce que le recourant doit démontrer conformément aux exigences de motivation des art. 42 al. 2 et 106 al. 2 LTF ( ATF 136 II 101 consid. 3 p. 104), faute de quoi il n'est pas possible de tenir compte d'un état de fait divergeant de celui qui est contenu dans l'acte attaqué.</w:t>
      </w:r>
    </w:p>
    <w:p>
      <w:r>
        <w:t>En l'occurrence, le recourant se borne à souligner que l'instance précédente n'a pas jugé utile de mentionner ni de prendre en compte certains faits (mémoire de recours ch. 16), sans exposer en quoi les conditions de l' art. 97 al. 1 LTF seraient remplies. Il n'est par conséquent pas possible de s'écarter des faits de l'arrêt attaqué.</w:t>
      </w:r>
    </w:p>
    <w:p>
      <w:r>
        <w:rPr>
          <w:b/>
        </w:rPr>
        <w:t>E. 3.1</w:t>
      </w:r>
    </w:p>
    <w:p>
      <w:r>
        <w:t>La loi sur les étrangers ne s'applique aux ressortissants des Etats membres de l'Union européenne que lorsque l'ALCP n'en dispose pas autrement ou lorsqu'elle prévoit des dispositions plus favorables (art. 2 al. 2 LEtr).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2C_473/2011 du 17 octobre 2011 consid. 2.1).</w:t>
      </w:r>
    </w:p>
    <w:p>
      <w:r>
        <w:rPr>
          <w:b/>
        </w:rPr>
        <w:t>E. 3.2</w:t>
      </w:r>
    </w:p>
    <w:p>
      <w:r>
        <w:t>Aux termes de l'art.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 Selon l'art. 62 let. b LEtr, disposition à laquelle renvoie l'art. 63 al. 1 let. a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 2.1 p. 147; 139 II 65 consid. 5.1 p. 72).</w:t>
      </w:r>
    </w:p>
    <w:p>
      <w:r>
        <w:rPr>
          <w:b/>
        </w:rPr>
        <w:t>E. 3.3</w:t>
      </w:r>
    </w:p>
    <w:p>
      <w:r>
        <w:t>Comme l'ensemble des droits octroyés par l'ALCP, le droit de demeurer en Suisse ne peut être limité que par des mesures d'ordre ou de sécurité publics, au sens de l' art. 5 al. 1 annexe I ALCP (cf. ATF 136 II 5 consid. 3.4 p. 12 s.). Conformément à la jurisprudence rendue en rapport avec l' art. 5 annexe I ALCP ,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 s.).</w:t>
      </w:r>
    </w:p>
    <w:p>
      <w:r>
        <w:t>Dans un arrêt récent, le Tribunal fédéral a nié l'existence d'une menace actuelle et réelle en la personne d'un ressortissant de l'UE qui avait été condamné à 6 ans de privation de liberté pour homicide par dol éventuel commis au moyen d'un véhicule à moteur conduit à très grande vitesse (rodéo routier) : en effet, les expertises psychiatriques avaient conclu à l'absence de risque de récidive et l'autorité cantonale en matière de circulation routière avait au demeurant restitué son permis de conduire à l'intéressé sous condition d'équiper son véhicule d'une boîte noire ; pour le surplus, la situation personnelle, professionnelle et sociale de l'intéressé plaidait également en faveur du refus de révoquer l'autorisation d'établissement (arrêt 2C_406/2014 du 2 juillet 2015).</w:t>
      </w:r>
    </w:p>
    <w:p>
      <w:r>
        <w:rPr>
          <w:b/>
        </w:rPr>
        <w:t>E. 4.1</w:t>
      </w:r>
    </w:p>
    <w:p>
      <w:r>
        <w:t>Il n'est pas contesté que l'intimé remplit les conditions de l'art. 62 let. b LEtr, par renvoi de l'art. 63 al. 1 let. a LEtr, et 63 al. 2 LEtr., permettant de révoquer son autorisation d'établissement, puisqu'il a été condamné à une peine privative de liberté de 36 mois. Il reste par conséquent à examiner si l'intimé représente une menace actuelle et réelle d'une certaine gravité pour l'ordre public suisse.</w:t>
      </w:r>
    </w:p>
    <w:p>
      <w:r>
        <w:rPr>
          <w:b/>
        </w:rPr>
        <w:t>E. 4.2</w:t>
      </w:r>
    </w:p>
    <w:p>
      <w:r>
        <w:t>Alors même que le recourant avait déjà été condamné à trois reprises pour ivresse au volant (la dernière fois le 16 juin 2011) et qu'il était sous le coup d'un retrait du permis de conduire, il a conduit à plusieurs reprises un véhicule automobile, les 8 et 9 août 2011. Très fatigué et ayant consommé beaucoup d'alcool, il a emprunté l'autoroute pendant la nuit, roulé à contresens et provoqué un accident fatal pour un conducteur circulant normalement sur sa voie. La condamnation à 36 mois de privation de liberté pour homicide par négligence est un élément qui pèse évidemment très lourd dans la pesée et l'appréciation de l'ensemble des circonstances pour décider de la révocation de l'autorisation d'établissement de l'intimé.</w:t>
      </w:r>
    </w:p>
    <w:p>
      <w:r>
        <w:t>Il est vrai que les infractions commises par l'intimé sont à l'évidence graves, comme le souligne à juste titre l'instance précédente. Il convient toutefois d'en examiner les effets sur l'ordre public suisse.</w:t>
      </w:r>
    </w:p>
    <w:p>
      <w:r>
        <w:rPr>
          <w:b/>
        </w:rPr>
        <w:t>E. 4.3</w:t>
      </w:r>
    </w:p>
    <w:p>
      <w:r>
        <w:t>Sous l'angle du risque de récidive, c'est à juste titre que l'instance précédente a souligné que, depuis l'accident en août 2011 jusqu'à son incarcération en décembre 2013, l'intimé n'a plus commis d'infractions entraînant de nouvelles sanctions pénales, qu'il a suivi une thérapie pendant deux ans auprès d'un psychiatre et qu'il est abstinent à l'alcool, ce que démontrent du reste les résultats des contrôles auxquels il est soumis, puisque les experts psychiatres n'ont jugé le risque de récidive élevé que si le recourant recommençait à boire, mais nettement moindre s'il observait une abstinence alcoolique complète. Or, force est de constater que l'intimé est non seulement abstinent depuis l'accident, ce qui certes pourrait s'expliquer par l'attente de son jugement, mais qu'il a suivi une thérapie aux fins de régler les problèmes personnels liés à sa consommation d'alcool. S'il est vrai comme l'affirme le recourant que l'abstinence durant l'incarcération ne constitue pas un comportement exceptionnel, l'abstinence avant détention soutenue par une thérapie psychiatrique autorise en revanche un pronostic favorable.</w:t>
      </w:r>
    </w:p>
    <w:p>
      <w:r>
        <w:rPr>
          <w:b/>
        </w:rPr>
        <w:t>E. 4.4</w:t>
      </w:r>
    </w:p>
    <w:p>
      <w:r>
        <w:t>Pour le surplus, comme l'a jugé à bon droit l'instance précédente, âgé de 55 ans, l'intimé a commencé de travailler en Suisse comme frontalier dans les années 80, y a ensuite vécu comme saisonnier et y réside de façon permanente depuis mars 1999, soit depuis plus de 15 ans. Du moment que l'épouse de l'intimé et la fille de cette dernière ont quitté leur pays d'origine en Amérique du Sud pour le rejoindre en Suisse, où la mère exerce une activité d'infirmière et la fille suit une formation, un départ de Suisse en France, même s'il s'agit d'un pays voisin partageant la même langue, nécessiterait de leur part un nouvel effort d'intégration. Eu égard à la protection de la vie privée et de la vie familiale, il y a lieu de rejeter le recours et de confirmer l'arrêt attaqué.</w:t>
      </w:r>
    </w:p>
    <w:p>
      <w:r>
        <w:rPr>
          <w:b/>
        </w:rPr>
        <w:t>E. 4.5</w:t>
      </w:r>
    </w:p>
    <w:p>
      <w:r>
        <w:t>L'intimé est toutefois rendu attentif que le maintien de son autorisation implique qu'il ne commette plus de nouveaux délits. S'il devait récidiver, il s'exposerait à des mesures d'éloignement (cf. arrêts 2C_851/2014 du 24 avril 2015 consid. 4; 2C_370/2012 du 29 octobre 2012 consid. 3.2; 2C_902/2011 du 14 mai 2012 consid. 3). Il y a donc lieu de lui adresser un avertissement formel en ce sens (art. 96 al. 2 LEtr).</w:t>
      </w:r>
    </w:p>
    <w:p>
      <w:r>
        <w:rPr>
          <w:b/>
        </w:rPr>
        <w:t>E. 5</w:t>
      </w:r>
    </w:p>
    <w:p>
      <w:r>
        <w:t>Les considérants qui précèdent conduisent au rejet du recours en matière de droit public. Bien qu'il succombe, le Secrétariat d'Etat aux migrations, qui ne défend pas d'intérêt patrimonial, ne peut se voir imposer les frais de justice ( art. 66 al. 1 et 4 LTF ). L'intimé, qui a obtenu gain de cause avec l'aide d'un mandataire, a droit à des dépens mis à charge du Secrétariat d'Etat aux migrations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