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2C_222/2016 vom 29. September 2016</w:t>
      </w:r>
    </w:p>
    <w:p>
      <w:r>
        <w:t>Bundesgericht, 2016-09-29, FR</w:t>
      </w:r>
    </w:p>
    <w:p>
      <w:r>
        <w:rPr>
          <w:b/>
        </w:rPr>
        <w:t xml:space="preserve">Quelle: </w:t>
      </w:r>
      <w:r>
        <w:t>https://mcp.opencaselaw.ch/entscheid/bger_2C_222_2016</w:t>
      </w:r>
    </w:p>
    <w:p>
      <w:r>
        <w:t>FR: TF 2C_222/2016 du 29 septembre 2016</w:t>
      </w:r>
    </w:p>
    <w:p>
      <w:r>
        <w:t>IT: TF 2C_222/2016 del 29 settembre 2016</w:t>
      </w:r>
    </w:p>
    <w:p>
      <w:pPr>
        <w:pStyle w:val="Heading2"/>
      </w:pPr>
      <w:r>
        <w:t>Erwägungen</w:t>
      </w:r>
    </w:p>
    <w:p>
      <w:r>
        <w:rPr>
          <w:b/>
        </w:rPr>
        <w:t>E. 1.1</w:t>
      </w:r>
    </w:p>
    <w:p>
      <w:r>
        <w:t>La présente cause, qui porte sur la modération d'honoraires de notaire, relève du droit public ( art. 82 let. a LTF ), comme cela ressort en particulier de l'art. 114 al. 1 phr. 1 de la loi vaudoise du 29 juin 2004 sur le notariat (LNo/VD; RSVD 178.11), qui prévoit que la rémunération du notaire pour son activité ministérielle est un émolument de droit public fixé par un tarif établi par le Conseil d'Etat (cf. arrêt 2P.36/2006 du 3 juillet 2006 consid. 1.1). Or, la recourante a interjeté un recours en matière civile, se fiant à la voie de droit indiquée dans l'arrêt attaqué. Cette fausse indication n'entraîne aucun préjudice pour la recourante. En effet, selon la jurisprudence, l'intitulé erroné d'un recours n'influence pas sa recevabilité, pour autant que l'écriture remplisse les conditions formelles de la voie de droit qui est ouverte (cf. ATF 133 I 300 consid. 1.2 p. 302 s.; 131 I 145 consid. 2.1 p. 147 s.). Le recours en matière de droit public est ouvert en l'espèce ( art. 83 LTF a contrario).</w:t>
      </w:r>
    </w:p>
    <w:p>
      <w:r>
        <w:t>Au surplus, déposé en temps utile ( art. 100 al. 1 LTF ) et dans les formes prescrites par la loi ( art. 42 LTF ), par la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est recevable.</w:t>
      </w:r>
    </w:p>
    <w:p>
      <w:r>
        <w:rPr>
          <w:b/>
        </w:rPr>
        <w:t>E. 1.2</w:t>
      </w:r>
    </w:p>
    <w:p>
      <w:r>
        <w:t>B.A.________ n'étant pas destinataire de l'arrêt entrepris et n'ayant pas personnellement un intérêt digne de protection dans la présente procédure ( art. 89 al. 1 LTF ), il ne saurait être donné suite à ses conclusions et réquisitions de preuves contenues dans son courrier du 16 mai 2016, en tant qu'il se réfère à la présente procédure (s'agissant de la procédure le concernant, cf. arrêt 2C_223/2016 du 29 septembre 2016).</w:t>
      </w:r>
    </w:p>
    <w:p>
      <w:r>
        <w:rPr>
          <w:b/>
        </w:rPr>
        <w:t>E. 2.1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En l'espèce, le litige porte sur la modération d'honoraires de notaire prévue par la LNo/VD. Partant, la cognition du Tribunal fédéral est limitée aux griefs de la recourante qui répondent aux exigences de l' art. 106 al. 2 LTF (cf. ATF 134 III 379 consid. 1.2 p. 382 s.; arrêt 2C_449/2013 du 21 février 2014 consid. 1.2).</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w:t>
      </w:r>
    </w:p>
    <w:p>
      <w:r>
        <w:t>Dans un grief d'ordre formel, la recourante fait valoir une violation de l' art. 30 al. 1 Cst. Selon elle, c'est de manière arbitraire que le Tribunal cantonal a jugé que la Chambre des notaires avait statué "par délégation", alors qu'à son avis, seule la Chambre</w:t>
      </w:r>
    </w:p>
    <w:p>
      <w:r>
        <w:t>in corpore serait compétente selon la LNo/VD.</w:t>
      </w:r>
    </w:p>
    <w:p>
      <w:r>
        <w:rPr>
          <w:b/>
        </w:rPr>
        <w:t>E. 3.1</w:t>
      </w:r>
    </w:p>
    <w:p>
      <w:r>
        <w:t>Selon son texte clair, l' art. 30 al. 1 Cst. ne s'applique qu'aux autorités ou magistrats qui exercent des fonctions juridictionnelles, le critère déterminant étant la nature fonctionnelle et non organique de l'autorité ( ATF 127 I 196 consid. 2b p. 198 s. et les références citées; arrêt 2C_187/2011 du 28 juillet 2011 consid. 3.1, non publié in ATF 137 II 425 ). C'est donc à tort que la recourante s'en prévaut pour critiquer la composition de la Chambre des notaires, qui est une autorité administrative (cf. art. 93 al. 1 LNo/VD, selon lequel la Chambre des notaires est présidée par le chef du Département cantonal, ce qui exclut l'existence d'une autorité judiciaire). Cependant, l' art. 29 al. 1 Cst. garantit également au justiciable, comme l' art. 30 Cst. ( ATF 137 I 340 consid. 2.2.3 p. 344), une composition correcte de l'autorité administrative qui rend la décision initiale (cf. arrêts 2C_187/2011 précité consid. 3.1; 2C_865/2010 du 13 avril 2011 consid. 2.4). Partant, pour éviter de tomber dans le formalisme excessif, il convient d'examiner le grief, même si la recourante a invoqué l' art. 30 Cst. et non pas l' art. 29 al. 1 Cst. (cf. arrêt 2C_187/2011 précité consid. 3.1), étant en outre précisé que le Tribunal cantonal a lui-même faussement appliqué l' art. 30 al. 1 Cst.</w:t>
      </w:r>
    </w:p>
    <w:p>
      <w:r>
        <w:rPr>
          <w:b/>
        </w:rPr>
        <w:t>E. 3.2</w:t>
      </w:r>
    </w:p>
    <w:p>
      <w:r>
        <w:t>L' 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 ATF 127 I 128 consid. 3c p. 130; arrêt 1C_388/2009 du 17 février 2010 consid. 4.1; BERNHARD WALDMANN, in Bundesverfassung, WALDMANN/ BELSER/EPINEY [éd.], 2015, n° 34 s. ad art. 29 Cst. ).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 ATF 137 I 340 consid. 2.2.1 p. 342 s.).</w:t>
      </w:r>
    </w:p>
    <w:p>
      <w:r>
        <w:t>La composition de l'autorité est définie selon les règles du droit de procédure ou d'organisation. Celui-ci prévoit généralement des quorum afin d'assurer le fonctionnement des autorités collégiales ( ATF 137 I 340 consid. 2.2 p. 342 ss; cf. GEROLD STEINMANN, in Die schweizerische Bundesverfassung, St. Galler Kommentar, EHRENZELLER ET AL. [éd.], 3e éd. 2014, n° 34 ad art. 29 Cst. ).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 ATF 137 I 340 consid. 2.2.1 p. 342 s.; BERNHARD WALDMANN, op. cit., n° 34 ad art. 29 Cst. ). Si l'autorité statue alors qu'elle n'est pas valablement constituée, elle commet un déni de justice formel ( ATF 137 I 340 consid. 2.2.1 p. 342 s.; 127 I 128 consid. 4b p. 131). Si la composition de l'autorité est prévue par le droit cantonal, le Tribunal fédéral ne revoit l'interprétation et l'application de celui-ci que sous l'angle restreint de l'arbitraire (cf. consid. 2.1 ci-dessus). Sous réserve de motivation suffisante (cf. art. 106 al. 2 LTF ), il examine en revanche avec une pleine cognition le point de savoir si la composition correcte de l'autorité administrative, telle que prévue, par le droit cantonal remplit les conditions de l' art. 29 al. 1 Cst. ( ATF 127 I 128 consid. 3c p. 130). Cela signifie que, dans un premier temps, le Tribunal fédéral examinera si l'interprétation et l'application du droit cantonal par le Tribunal cantonal sont ou non arbitraires (cf. ATF 137 I 1 consid. 2.4 p. 5). Dans une seconde phase, le Tribunal fédéral contrôlera avec une pleine cognition si l'interprétation et l'application du droit cantonal, reconnues non arbitraires, sont compatibles avec la garantie de l' art. 29 al. 1 Cst. (cf. ATF 131 I 31 consid. 2.1.2.1 p. 34 s. et les références citées). Il n'examinera toutefois pas la régularité de la composition des instances précédentes, dans la mesure où celle-ci est régie par le droit cantonal, si aucun grief n'est soulevé à cet égard ( art. 106 al. 2 LTF ; ATF 140 II 141 consid. 1.2 p. 145 s.; relatif à la correcte composition d'une autorité judiciaire selon l' art. 30 al. 1 Cst. , mais applicable également à l' art. 29 al. 1 Cst. quant à la composition d'une autorité administrative).</w:t>
      </w:r>
    </w:p>
    <w:p>
      <w:r>
        <w:t>Le droit constitutionnel à une composition correcte de l'autorité décisionnelle est de nature formelle. Sa violation, quelles que soient les chances de succès du recours sur le fond, conduit à l'annulation de l'arrêt entrepris ( ATF 127 I 128 consid. 4d p. 132 s.). Il est en outre exclu d'admettre la réparation d'un tel vice ( ATF 127 I 128 consid. 4d p. 132 s.; GEROLD STEINMANN, op. cit., n° 61 ad art. 29 Cst. ; s'agissant de la composition d'une autorité judiciaire, cf. CHRISTIAN WINIGER, Die Organisation des Solothurner Steuergerichts im Lichte ausgewählter verfassungsrechtlicher Grundsätze, in Justice-Justiz-Giustizia 2015/1, n° 25). Cela conduirait en effet à permettre à une autorité décisionnelle de se passer systématiquement de statuer dans une composition conforme au droit.</w:t>
      </w:r>
    </w:p>
    <w:p>
      <w:r>
        <w:rPr>
          <w:b/>
        </w:rPr>
        <w:t>E. 3.3</w:t>
      </w:r>
    </w:p>
    <w:p>
      <w:r>
        <w:t>En l'occurrence, il ressort de l'arrêt entrepris que la Chambre des notaires a statué "par délégation" et non dans sa composition ordinaire. Ce sont la présidente et deux notaires délégués, c'est-à-dire trois personnes, qui ont rendu la décision initiale.</w:t>
      </w:r>
    </w:p>
    <w:p>
      <w:r>
        <w:t>Le Tribunal cantonal a considéré en substance que l'art. 37 al. 2 du règlement vaudois du 16 décembre 2004 d'application de la loi du 29 juin 2004 sur le notariat (RLNo/VD; RSVD 178.11.1), qui dispose que la Chambre des notaires procède à la modération, mais peut déléguer ses compétences à une commission formée d'au moins deux de ses membres, a son fondement à l'art. 91 al. 1 LNo/VD. Cette disposition prévoit que les autorités de surveillance et disciplinaire, ainsi que leurs délégations, peuvent entendre des témoins ou saisir des documents à titre probatoire ou conservatoire. Se fondant sur cette norme, le Tribunal cantonal a jugé qu'une décision de modération rendue par une délégation de la Chambre des notaires ne violait pas l' art. 30 al. 1 Cst. La recourante considère cette motivation comme arbitraire et contraire à la disposition constitutionnelle précitée (en l'occurrence à l' art. 29 al. 1 Cst. ; cf. consid. 3.1 ci-dessus).</w:t>
      </w:r>
    </w:p>
    <w:p>
      <w:r>
        <w:rPr>
          <w:b/>
        </w:rPr>
        <w:t>E. 3.4</w:t>
      </w:r>
    </w:p>
    <w:p>
      <w:r>
        <w:t>L'art. 91 al. 1 LNo/VD admet que les autorités agissent par délégation, mais limite expressément cette compétence à l'audition de témoins et à la saisie de documents. En ce sens, l'art. 97 al. 1 LNo/VD prévoit que les enquêtes et les inspections de la Chambre des notaires peuvent être déléguées à un ou plusieurs de ses membres, qui lui font rapport pour décision. Hormis ce cas de figure, la LNo/VD ne prévoit en revanche pas que la Chambre des notaires puisse déléguer la compétence de rendre des décisions, d'autant moins que l'art. 94 al. 1 LNo/VD prévoit que celle-ci ne délibère que si cinq membres sont présents, quorum qui n'est donc pas atteint en cas de délégation à une commission formée de moins de cinq membres. Ainsi, en jugeant que la LNo/VD contient une disposition légale suffisante permettant, par voie réglementaire, de confier une compétence décisionnelle par délégation à au moins deux des membres de la Chambre des notaires, le Tribunal cantonal est tombé dans l'arbitraire. Dans ces conditions, il n'est pas nécessaire d'examiner si la solution retenue constitue en plus une violation de l' art. 29 al. 1 Cst. Le recours doit donc être admis, l'arrêt entrepris annulé et la cause renvoyée à la Chambre des notaires afin qu'elle statue dans une composition conforme à la LNo/VD.</w:t>
      </w:r>
    </w:p>
    <w:p>
      <w:r>
        <w:t>Partant, il n'est pas nécessaire d'examiner les autres griefs invoqués par la recourante.</w:t>
      </w:r>
    </w:p>
    <w:p>
      <w:r>
        <w:rPr>
          <w:b/>
        </w:rPr>
        <w:t>E. 4</w:t>
      </w:r>
    </w:p>
    <w:p>
      <w:r>
        <w:t>L'intimé, qui a conclu à l'irrecevabilité, subsidiairement au rejet du recours, supportera les frais judiciaire ( art. 66 al. 1 LTF ). Le canton de Vaud, dont l'intérêt patrimonial n'est pas en cause, est exonéré du paiement de ces frais ( art. 66 al. 4 LTF ). Le canton de Vaud et l'intimé supporteront en outre les dépens de la recourante, qui a obtenu gain de cause avec un mandataire professionnel, solidairement entre eux ( art. 68 al. 1 et 4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