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220/2007 vom 10. Oktober 2007</w:t>
      </w:r>
    </w:p>
    <w:p>
      <w:r>
        <w:t>Bundesgericht, 2007-10-10, DE</w:t>
      </w:r>
    </w:p>
    <w:p>
      <w:r>
        <w:rPr>
          <w:b/>
        </w:rPr>
        <w:t xml:space="preserve">Quelle: </w:t>
      </w:r>
      <w:r>
        <w:t>https://mcp.opencaselaw.ch/entscheid/bger_2C_220_2007</w:t>
      </w:r>
    </w:p>
    <w:p>
      <w:r>
        <w:t>FR: TF 2C 220/2007 du 10 octobre 2007</w:t>
      </w:r>
    </w:p>
    <w:p>
      <w:r>
        <w:t>IT: TF 2C 220/2007 del 10 ottobre 2007</w:t>
      </w:r>
    </w:p>
    <w:p>
      <w:pPr>
        <w:pStyle w:val="Heading2"/>
      </w:pPr>
      <w:r>
        <w:t>Regeste</w:t>
      </w:r>
    </w:p>
    <w:p>
      <w:r>
        <w:t>Direkte Bundessteuer 2000 | Öffentliche Finanzen &amp; Abgaberecht</w:t>
      </w:r>
    </w:p>
    <w:p>
      <w:pPr>
        <w:pStyle w:val="Heading2"/>
      </w:pPr>
      <w:r>
        <w:t>Erwägungen</w:t>
      </w:r>
    </w:p>
    <w:p>
      <w:r>
        <w:rPr>
          <w:b/>
        </w:rPr>
        <w:t>E. 1</w:t>
      </w:r>
    </w:p>
    <w:p>
      <w:r>
        <w:t>Nach Art. 54 Abs. 1 BGG wird das Verfahren in der Regel in der Sprache des angefochtenen Entscheids geführt. Das bundesgerichtliche Urteil ergeht daher in deutscher Sprache, auch wenn die Beschwerdeschrift auf Französisch abgefasst ist.</w:t>
      </w:r>
    </w:p>
    <w:p>
      <w:r>
        <w:rPr>
          <w:b/>
        </w:rPr>
        <w:t>E. 2</w:t>
      </w:r>
    </w:p>
    <w:p>
      <w:r>
        <w:t>Die Beschwerdeführerin wirft dem Verwaltungsgericht vor, den für die Beurteilung ihres Fristwiederherstellungsgesuchs massgeblichen Sachverhalt unvollständig festgestellt und dadurch Art. 97 Abs. 1 BGG sowie Art. 143 des Bundesgesetzes vom 14. Dezember 1990 über die direkte Bundessteuer (DBG; SR 642.11) verletzt zu haben. Nach ihrer Ansicht hätte die Vorinstanz nähere Erhebungen über die geltend gemachte Krankheit ihres Verwaltungsrats vornehmen müssen. Dass dieser während seiner ganzen krankheitsbedingten Abwesenheit nicht in der Lage gewesen sei, ein Mandat zur Beschwerdeführung zu erteilen, hätte der behandelnde Arzt bestätigen können.</w:t>
      </w:r>
    </w:p>
    <w:p>
      <w:r>
        <w:rPr>
          <w:b/>
        </w:rPr>
        <w:t>E. 3</w:t>
      </w:r>
    </w:p>
    <w:p>
      <w:r>
        <w:t>Nach Art. 133 Abs. 3 DBG wird auf verspätete Einsprachen gegen Veranlagungsverfügungen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Diese Regelung gilt auch im anschliessenden kantonalen Beschwerdeverfahren gegen Einspracheentscheide ( Art. 140 Abs. 4 DBG ).</w:t>
      </w:r>
    </w:p>
    <w:p>
      <w:r>
        <w:rPr>
          <w:b/>
        </w:rPr>
        <w:t>E. 4</w:t>
      </w:r>
    </w:p>
    <w:p>
      <w:r>
        <w:t>Im angefochtenen Urteil wird die Fristwiederherstellung abgelehnt, weil weder die Z.________ SA, welche die Beschwerdeführerin im Einspracheverfahren vertreten hatte, noch die Y.________ SA, die als neue Vertreterin für das verwaltungsgerichtliche Verfahren vorgesehen war, nach Eingang des Einspracheentscheids die gebotenen Schritte unternommen hätten. Die Vorinstanz bezweifelt aufgrund der eingereichten Arztzeugnisse zwar ausserdem, dass B.________ als einziger Verwaltungsrat der Beschwerdeführerin vor Ablauf der Beschwerdefrist ausser Stande war, die für das Beschwerdeverfahren nötigen Instruktionen zu erteilen. Doch misst sie diesem Umstand letztlich keine entscheidende Bedeutung zu, da die beiden erwähnten Firmen die zur Fristwahrung notwendigen Vorkehrungen ohnehin nicht getroffen hätten und daher nicht von einer unverschuldeten Säumnis gesprochen werden könne. Unter diesen Umständen hatte die Vorinstanz keinen Anlass, nähere Abklärungen zur Krankheit von B.________ zu treffen (vgl. im Übrigen auch Urteil 2A.248/2003 vom 8. August 2003, E. 3). Die von der Beschwerdeführerin vorgebrachte Kritik erweist sich von vornherein als unbegründet, wenn die Fristwiederherstellung bereits aufgrund des Verhaltens der beigezogenen Treuhandgesellschaften abgelehnt werden durfte. Es entspricht der ständigen Rechtspraxis, dass eine Fristwieder- herstellung ausser Betracht fällt, wenn der vom Rechtsuchenden beauftragte Vertreter das Fristversäumnis verschuldet hat (Urteil 2A.329/1990 vom 3. September 1991, publ. in: ASA 60 S. 630, E. 2c, betreffend Art. 99 Abs. 4 des Bundesratsbeschlusses vom 9. Dezember 1940 über die Erhebung einer direkten Bundessteuer [BdBSt], der im Wesentlichen dem hier anwendbaren Art. 133 Abs. 3 DBG entspricht; vgl. ferner BGE 114 Ib 67 E. 2 S. 69 ff.). Nach den unbestrittenen Feststellungen im angefochtenen Entscheid wurde der Einspracheentscheid am 22. Dezember 2006 der damaligen Vertreterin der Beschwerdeführerin - der Z.________ SA - zugestellt. Auf dem Eröffnungsblatt, das Teil dieses Entscheids bildet, war die dreissigtägige Frist zur Erhebung einer Beschwerde beim Verwaltungsgericht angegeben. Weiter steht fest, dass die Z.________ SA den Einspracheentscheid ohne Eröffnungsblatt der Y.________ SA weiterleitete und auf Nachfrage bemerkte, die Beschwerdeführerin könne ihr zur Zeit kein Mandat zur Beschwerdeerhebung erteilen, da ihr Verwaltungsrat - B.________, der im Übrigen auch Direktor der Z.________ SA ist - krank sei. Die Vorinstanz erklärt zu Recht, dass die Z.________ SA als damalige Rechtsvertreterin die Y.________ SA über den Fristenlauf hätte ins Bild setzen und die nötigen Instruktionen einholen bzw. der vorgesehenen neuen Vertreterin weitergeben müssen. Soweit dies wegen der Krankheit von B.________ nicht möglich war, wäre es ihre Pflicht gewesen, die nötigen Schritte zur Rechtswahrung - durch vorsorgliche Beschwerdeerhebung - zu treffen, zumal eine Beschwerdeführung vor dem Verwaltungsgericht ins Auge gefasst wurde. Ob auch die Y.________ SA hätte tätig werden müssen, kann offen bleiben. Bereits aufgrund des Verhaltens der damaligen Vertreterin der Beschwerdeführerin kann nicht von einem unverschuldeten Fristversäumnis gesprochen werden. Der angefochtene Entscheid verletzt demnach kein Bundesrecht.</w:t>
      </w:r>
    </w:p>
    <w:p>
      <w:r>
        <w:rPr>
          <w:b/>
        </w:rPr>
        <w:t>E. 5</w:t>
      </w:r>
    </w:p>
    <w:p>
      <w:r>
        <w:t>Die Beschwerde ist aus diesen Gründen abzuweisen. Bei diesem Verfahrensausgang sind die bundesgerichtlichen Kosten der Beschwerdeführerin aufzuerlegen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