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219/2024 vom 8. Mai 2024</w:t>
      </w:r>
    </w:p>
    <w:p>
      <w:r>
        <w:t>Bundesgericht, 2024-05-08, DE</w:t>
      </w:r>
    </w:p>
    <w:p>
      <w:r>
        <w:rPr>
          <w:b/>
        </w:rPr>
        <w:t xml:space="preserve">Quelle: </w:t>
      </w:r>
      <w:r>
        <w:t>https://mcp.opencaselaw.ch/entscheid/bger_2C_219_2024</w:t>
      </w:r>
    </w:p>
    <w:p>
      <w:r>
        <w:t>FR: TF 2C 219/2024 du 8 mai 2024</w:t>
      </w:r>
    </w:p>
    <w:p>
      <w:r>
        <w:t>IT: TF 2C 219/2024 del 8 maggio 2024</w:t>
      </w:r>
    </w:p>
    <w:p>
      <w:pPr>
        <w:pStyle w:val="Heading2"/>
      </w:pPr>
      <w:r>
        <w:t>Regeste</w:t>
      </w:r>
    </w:p>
    <w:p>
      <w:r>
        <w:t>Amtshilfe (DBA CH-AUS) | Rechtshilfe und Auslieferung</w:t>
      </w:r>
    </w:p>
    <w:p>
      <w:pPr>
        <w:pStyle w:val="Heading2"/>
      </w:pPr>
      <w:r>
        <w:t>Erwägungen</w:t>
      </w:r>
    </w:p>
    <w:p>
      <w:r>
        <w:rPr>
          <w:b/>
        </w:rPr>
        <w:t>E. 1</w:t>
      </w:r>
    </w:p>
    <w:p>
      <w:r>
        <w:t>Wenn: a) ein Unternehmen eines Vertragsstaates unmittelbar oder mittelbar an der Geschäftsleitung, der Kontrolle oder am Kapital eines Unternehmens des anderen Vertragsstaates beteiligt ist, oder b) dieselben Personen unmittelbar oder mittelbar an der Geschäftsleitung, der Kontrolle oder dem Kapital eines Unternehmens eines Vertragsstaats und eines Unternehmens des anderen Vertragsstaats beteiligt sind; und in diesen Fällen beide Unternehmen in ihren kaufmännischen oder finanziellen Beziehungen an Bedingungen gebunden sind, die von denen abweichen, die unabhängige Unternehmen miteinander vereinbaren würden, dann können die Gewinne, die eines der Unternehmen ohne diese Bedingungen erzielt hätte, wegen dieser Bedingungen aber nicht erzielt hat, den Gewinnen dieses Unternehmens zugerechnet und entsprechend besteuert werden.</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 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2C_108/2024 vom 21. Februar 2024 E. 1.1).</w:t>
      </w:r>
    </w:p>
    <w:p>
      <w:r>
        <w:rPr>
          <w:b/>
        </w:rPr>
        <w:t>E. 1.2</w:t>
      </w:r>
    </w:p>
    <w:p>
      <w:r>
        <w:t>Die Beschwerdeführerin unterbreitet dem Bundesgericht die Frage, ob Amtshilfe zu gewähren sei, wenn ein Amtshilfegesuch die Überprüfung der Angemessenheit von Entschädigungen betreffe, obwohl erstellt sei, dass die betroffenen Gesellschaften nicht gemäss Art. 9 DBA CH-AU kapitalmässig verbunden seien und daher eine steuerliche Korrektur der Entschädigungshöhe abkommenswidrig wäre. Die Beschwerdeführerin stellt sich auf den Standpunkt, dass das Staatsvertragsrecht die nationale steuerbegründenden Normen zurückdränge. Als Folge davon seien keine Informationen für eine dem nationalen Recht entsprechende Besteuerung auszutauschen, wenn dieses dem Doppelbesteuerungsabkommen widerspreche. Zu dieser Frage habe sich das Bundesgericht bisher nicht geäussert.</w:t>
      </w:r>
    </w:p>
    <w:p>
      <w:r>
        <w:rPr>
          <w:b/>
        </w:rPr>
        <w:t>E. 1.3</w:t>
      </w:r>
    </w:p>
    <w:p>
      <w:r>
        <w:t>Art. 9 DBA CH-AU lautet wie folgt:</w:t>
      </w:r>
    </w:p>
    <w:p>
      <w:r>
        <w:rPr>
          <w:b/>
        </w:rPr>
        <w:t>E. 1.4</w:t>
      </w:r>
    </w:p>
    <w:p>
      <w:r>
        <w:t>Die von der Beschwerdeführerin aufgeworfene Rechtsfrage im Kontext der Überprüfung der Verrechnungspreise sowie zu Art. 9 DBA CH-AU betrifft im Wesentlichen das Erfordernis der voraussichtlichen Erheblichkeit sowie das völkerrechtliche Vertrauensprinzip.</w:t>
      </w:r>
    </w:p>
    <w:p>
      <w:r>
        <w:rPr>
          <w:b/>
        </w:rPr>
        <w:t>E. 1.4.1</w:t>
      </w:r>
    </w:p>
    <w:p>
      <w:r>
        <w:t>Das Bundesgericht hat sich schon verschiedentlich zur Überprüfung der Verrechnungspreise im Rahmen der internationalen Amtshilfe in Steuersachen geäussert (vgl. BGE 143 II 185 E. 2 ff.; Urteile 2C_282/2021 vom 15. Juni 2022 E. 1.2.2; 2C_455/2021 vom 31. Mai 2022 E. 1.2.2). Dabei hat das Bundesgericht festgehalten, dass die ersuchten Informationen das Erfordernis der voraussichtlichen Erheblichkeit erfüllen, wenn die ersuchende Behörde auf die Anwendung der internen Verrechnungspreisvorschriften des ersuchenden Staats abzielt (vgl. Urteile 2C_481/2021 vom 19. Mai 2022 E. 7.5 ["les prix de transfert pratiqués aux fins de l'application de sa législation fiscale interne"]; 2C_690/2015 vom 15. März 2016 E. 3.3 ["l'application des règles internes de l'Etat requérant en matière de prix de transfert"]). Diese Erwägung deckt sich mit der ständigen bundesgerichtlichen Rechtsprechung, wonach sich der ersuchte Staat im Rahmen des Amtshilfeverfahrens nicht zum innerstaatlichen Steuer- und Verfahrensrecht des ersuchenden Staats zu äussern hat. Für die voraussichtliche Erheblichkeit reicht vielmehr aus, dass die ersuchten Informationen für eine Verwendung im ausländischen Verfahren als potenziell geeignet erscheinen (vgl. BGE 144 II 206 E. 4.3; Urteil 2C_109/2022 vom 30. Januar 2023 E. 4.2.1). Die Vorinstanz erwägt denn auch, die ersuchten Informationen würden der ersuchenden Behörde vorliegend bei der Anwendung der innerstaatlichen Verrechnungspreisvorschriften dienen (vgl. E. 4.2.2.3 f. des angefochtenen Urteils). Dass die ersuchten Informationen für diesen Besteuerungszweck nicht geeignet seien, macht die Beschwerdeführerin nicht geltend. Folglich liegt keine Rechtsfrage von grundsätzlicher Bedeutung im Sinne von Art. 84a BGG vor. Soweit die Beschwerdeführerin darlegt, sie sei kapitalmässig nicht mit den von der Amtshilfe betroffenen Personen verbunden, ist dieser Umstand, wie das Bundesgericht in seiner ständigen Rechtsprechung ausgeführt hat, vor den Behörden des ersuchenden Staats vorzutragen (vgl. BGE 144 II 206 E. 4.6; 142 II 161 E. 2.2; 142 II 218 E. 3.6 f.; Urteil 2C_241/2016 vom 7. April 2017 E. 5.4).</w:t>
      </w:r>
    </w:p>
    <w:p>
      <w:r>
        <w:rPr>
          <w:b/>
        </w:rPr>
        <w:t>E. 1.4.2</w:t>
      </w:r>
    </w:p>
    <w:p>
      <w:r>
        <w:t>Ausserdem ergibt sich aus dem völkerrechtlichen Vertrauensprinzip, dass sich der ersuchte Staat grundsätzlich auf die Angaben zu verlassen hat, die ihm der ersuchende Staat mitteilt (zum völkerrechtlichen Vertrauensprinzip siehe BGE 146 II 150 E. 7.1; 144 II 206 E. 4.4). In der vorliegenden Angelegenheit erwägt die Vorinstanz, aus dem Hinweis der ersuchenden Behörde im Amtshilfeersuchen vom 24. März 2022, wonach ihr innerstaatliches Recht die Anwendung des Fremdvergleichsgrundsatzes auf Transaktionen zwischen verbundenen sowie zwischen nicht verbundenen Unternehmen ermögliche, lasse sich nicht ableiten, dass der ersuchende Staat auf eine abkommenswidrige Besteuerung abziele (vgl. E. 4.2.2.4 des angefochtenen Urteils). Soweit die Beschwerdeführerin diese Erwägung kritisiert und darauf hinweist, es mangle unbestrittenermassen an der kapitalmässigen Verbundenheit, richtet sie sich lediglich gegen die vorinstanzliche Anwendung des völkerrechtlichen Vertrauensprinzips im vorliegenden Einzellfall und wirft keine Grundsatzfrage im Sinne von Art. 84a BGG auf.</w:t>
      </w:r>
    </w:p>
    <w:p>
      <w:r>
        <w:rPr>
          <w:b/>
        </w:rPr>
        <w:t>E. 1.5</w:t>
      </w:r>
    </w:p>
    <w:p>
      <w:r>
        <w:t>Nach dem Dargelegten betrifft die von der Beschwerdeführerin aufgeworfene Frage die materielle Beurteilung der Angelegenheit im Rahmen des französischen Steuerverfahrens und richtete sich gegen die dortige Anwendung der internen Verrechnungspreisvorschriften. Darüber hinaus ist ein allfälliger Konflikt mit Art. 9 DBA CH-AU infolge einer potenziellen, künftigen Besteuerung durch den ersuchenden Staat nicht im Rahmen des Amtshilfeverfahrens, sondern direkt zwischen den beiden Vertragsstaaten zu klären (vgl. Art. 24 DBA CH-AU). Soweit die Beschwerdeführerin eine künftige abkommenswidrige Besteuerung ins Feld führt, liegt daher ebenfalls keine Rechtsfrage von grundsätzlicher Bedeutung im Sinne von Art. 84a BGG vor. Im Ergebnis ist auf die Beschwerde in öffentlich-rechtlichen Angelegenheiten nicht einzutreten.</w:t>
      </w:r>
    </w:p>
    <w:p>
      <w:r>
        <w:rPr>
          <w:b/>
        </w:rPr>
        <w:t>E. 2</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