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218/2022 vom 11. März 2022</w:t>
      </w:r>
    </w:p>
    <w:p>
      <w:r>
        <w:t>Bundesgericht, 2022-03-11, FR</w:t>
      </w:r>
    </w:p>
    <w:p>
      <w:r>
        <w:rPr>
          <w:b/>
        </w:rPr>
        <w:t xml:space="preserve">Quelle: </w:t>
      </w:r>
      <w:r>
        <w:t>https://mcp.opencaselaw.ch/entscheid/bger_2C_218_2022</w:t>
      </w:r>
    </w:p>
    <w:p>
      <w:r>
        <w:t>FR: TF 2C 218/2022 du 11 mars 2022</w:t>
      </w:r>
    </w:p>
    <w:p>
      <w:r>
        <w:t>IT: TF 2C 218/2022 del 11 marzo 2022</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A.A.________, né en 1979 est ressortissant de U.________. Il est arrivé en Suisse en 2004. B.A.________, née en 1987, est ressortissante du V.________. Elle est arrivée en Suisse en 2011. Ils vivent ensemble à Genève depuis novembre 2011, sans autorisation de séjour, avec leur fils C.A.________, né le 12 février 2013, et leur fille D.A.________, née le 12 décembre 2017, à Genève de nationalité V.________. Par décisions du 3 mai 2017, l'Office cantonal de la population et des migrations du canton de Genève a refusé d'accorder une autorisation de séjour aux intéressés, au motif qu'ils ne se trouvaient pas dans un cas de rigueur. Par jugement du 19 décembre 2017, le Tribunal administratif de première instance du canton de Genève a confirmé les décisions du 3 mai 2017. Ce jugement a été confirme par la Cour de justice du canton de Genève par arrêt du 11 septembre 2018. Par requête du 19 février 2019, le couple a sollicité de l'Office cantonal de la population et des migrations la reconsidération des décisions du 3 mai 2017, ce que ce dernier a refusé par décision du 17 décembre 2020. Par jugement du 20 octobre 2021, le Tribunal administratif de première instance a rejeté le recours que les intéressés avaient déposé contre la décision du 17 décembre 2020. Par arrêt du 1er février 2022, la Cour de justice du canton de Genève a rejeté le recours que les intéressés avaient interjeté contre le jugement rendu le 20 octobre 2021 par le Tribunal administratif de première instance. Les conditions des art. 30 al. 1 let. b LEI et 8 CEDH n'étaient pas remplies.</w:t>
      </w:r>
    </w:p>
    <w:p>
      <w:r>
        <w:rPr>
          <w:b/>
        </w:rPr>
        <w:t>E. 2</w:t>
      </w:r>
    </w:p>
    <w:p>
      <w:r>
        <w:t>Par courrier du 8 mars 2022, A.A.________ déclare recourir contre l'arrêt rendu le 1er février 2022 par la Cour de justice du canton de Genève. Il expose pour quelles raisons une autorisation de séjour devrait être délivrée à toute la famille.</w:t>
      </w:r>
    </w:p>
    <w:p>
      <w:r>
        <w:rPr>
          <w:b/>
        </w:rPr>
        <w:t>E. 3</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w:t>
      </w:r>
    </w:p>
    <w:p>
      <w:r>
        <w:rPr>
          <w:b/>
        </w:rPr>
        <w:t>E. 3.1</w:t>
      </w:r>
    </w:p>
    <w:p>
      <w:r>
        <w:t>La voie du recours en matière de droit public pour se plaindre de la violation de l' art. 30 LEI n'est par conséquent pas ouverte.</w:t>
      </w:r>
    </w:p>
    <w:p>
      <w:r>
        <w:rPr>
          <w:b/>
        </w:rPr>
        <w:t>E. 3.2</w:t>
      </w:r>
    </w:p>
    <w:p>
      <w:r>
        <w:t>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ni le recourant, ni la mère de ses enfants ni ces derniers n'ont résidé légalement en Suisse. Ils ne peuvent donc pas se prévaloir de manière soutenable de l' art. 8 CEDH sous l'angle de la vie privée. Comme ils ne peuvent se prévaloir d'aucun droit de séjour en Suisse, le recours considéré comme recours en matière de droit public est irrecevable. Seule reste envisageable la voie du recours constitutionnel subsidiaire.</w:t>
      </w:r>
    </w:p>
    <w:p>
      <w:r>
        <w:rPr>
          <w:b/>
        </w:rPr>
        <w:t>E. 4.1</w:t>
      </w:r>
    </w:p>
    <w:p>
      <w:r>
        <w:t>Le recours constitutionnel subsidiaire ( art. 113 ss LTF ) peut être formé pour violation des droits constitutionnels ( art. 116 LTF ). La qualité pour former un recours constitutionnel subsidiaire suppose cependant un " intérêt juridique " à l'annulation ou à la modification de la décision attaquée ( art. 115 let. b LTF ; cf. ATF 133 I 185 ), dont le recourant, la mère de ses enfants et ces derniers, qui n'ont pas droit à une autorisation de séjour (cf. consid. 4 ci-dessus), ne peuvent se prévaloir. Ils n'ont donc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En l'espèce, ils ne se plaignent de la violation d'aucun droit constitutionnel équivalent à un déni de justice.</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