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218/2020 vom 15. Juni 2020</w:t>
      </w:r>
    </w:p>
    <w:p>
      <w:r>
        <w:t>Bundesgericht, 2020-06-15, DE</w:t>
      </w:r>
    </w:p>
    <w:p>
      <w:r>
        <w:rPr>
          <w:b/>
        </w:rPr>
        <w:t xml:space="preserve">Quelle: </w:t>
      </w:r>
      <w:r>
        <w:t>https://mcp.opencaselaw.ch/entscheid/bger_2C_218_2020</w:t>
      </w:r>
    </w:p>
    <w:p>
      <w:r>
        <w:t>FR: TF 2C 218/2020 du 15 juin 2020</w:t>
      </w:r>
    </w:p>
    <w:p>
      <w:r>
        <w:t>IT: TF 2C 218/2020 del 15 giugno 2020</w:t>
      </w:r>
    </w:p>
    <w:p>
      <w:pPr>
        <w:pStyle w:val="Heading2"/>
      </w:pPr>
      <w:r>
        <w:t>Regeste</w:t>
      </w:r>
    </w:p>
    <w:p>
      <w:r>
        <w:t>Nichtverlängerung der Aufenthaltsbewilligung EU/EFTA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Entschied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1.2</w:t>
      </w:r>
    </w:p>
    <w:p>
      <w:r>
        <w:t>Nicht Gegenstand des bundesgerichtlichen Beschwerdeverfahrens bilden hingegen der Entscheid des Migrationsamts vom 22. November 2017 und der Entscheid des Departements vom 23. Mai 2019, deren Aufhebung die Beschwerdeführerin ebenfalls beantragt. Diese sind durch den vorinstanzlichen Entscheid vom 18. Dezember 2019 ersetzt worden und gelten inhaltlich als mitangefochten (Devolutiveffekt; vgl. BGE 134 II 142 E. 1.4 S. 144; 129 II 438 E. 1 S. 441). In diesem Umfang ist auf die Beschwerde nicht einzutreten.</w:t>
      </w:r>
    </w:p>
    <w:p>
      <w:r>
        <w:rPr>
          <w:b/>
        </w:rPr>
        <w:t>E. 1.3</w:t>
      </w:r>
    </w:p>
    <w:p>
      <w:r>
        <w:t>Das Rechtsmittel ist als Beschwerde in öffentlich-rechtlichen Angelegenheiten zulässig, da sich die Beschwerdeführerin als Bürgerin der Europäischen Union auf einen durch das Abkommen vom 21. Juni 1999 zwischen der Schweizerischen Eidgenossenschaft einerseits und der Europäischen Gemeinschaft und ihren Mitgliedstaaten andererseits über die Freizügigkeit (Freizügigkeitsabkommen, FZA; SR 0.142.112.681) eingeräumten Bewilligungsanspruch zumindest in vertretbarer Weise berufen kann ( Art. 83 lit. c Ziff. 2 BGG ; vgl. Art. 6 FZA i.V.m. Art. 4 Anhang 1 FZA sowie Art. 24 Anhang 1 FZA ). Ob die Voraussetzungen für die Verlängerung der Aufenthaltsbewilligung EU/ EFTA vorliegen, ist indes nicht Gegenstand der Eintretensfrage, sondern der materiellen Beurteilung (vgl. BGE 139 I 330 E. 1.1 S. 332; 136 II 177 E. 1.1 S. 179).</w:t>
      </w:r>
    </w:p>
    <w:p>
      <w:r>
        <w:rPr>
          <w:b/>
        </w:rPr>
        <w:t>E. 1.4</w:t>
      </w:r>
    </w:p>
    <w:p>
      <w:r>
        <w:t>Auf die Beschwerde in öffentlich-rechtlichen Angelegenheiten ist nach dem Gesagten insoweit einzutreten, als sie sich gegen den vorinstanzlichen Entscheid vom 18. Dezember 2019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es den Sachverhalt zugrunde, den die Vorinstanz festgestellt hat ( Art. 105 Abs. 1 BGG ).</w:t>
      </w:r>
    </w:p>
    <w:p>
      <w:r>
        <w:rPr>
          <w:b/>
        </w:rPr>
        <w:t>E. 3.1</w:t>
      </w:r>
    </w:p>
    <w:p>
      <w:r>
        <w:t>Die Vorinstanz prüft den Anspruch der Beschwerdeführerin auf die Erteilung der Aufenthaltsbewilligung EU/EFTA gestützt auf verschiedene Grundlagen. Die Beschwerdeführerin habe am 30. Oktober 2017 mit Fr. 2'522.-- in einem erheblichen Umfang Ergänzungsleistungen bezogen, was das Vorliegen hinreichender Mittel im Sinne von Art. 24 Abs. 1 lit. a Anhang I FZA ausschliesse (vgl. E. 3 f. des angefochtenen Urteils). Sodann habe die im Jahr 1954 geborene Beschwerdeführerin im Zeitpunkt der Aufgabe ihrer Erwerbstätigkeit, welche spätestens mit der Löschung ihrer Gesellschaft aus dem Handelsregister im Oktober 2013 erfolgt sei, das gesetzliche AHV-Alter in der Schweiz noch nicht erreicht. Auch die Voraussetzungen von Art. 4 Anhang I FZA seien damit offensichtlich nicht gegeben (vgl. E. 5 des angefochtenen Urteils). Die Nichtverlängerung der Aufenthaltsbewilligung erweise sich, so die Vorinstanz weiter, ebenso als verhältnismässig (vgl. E. 7 des angefochtenen Urteils).</w:t>
      </w:r>
    </w:p>
    <w:p>
      <w:r>
        <w:rPr>
          <w:b/>
        </w:rPr>
        <w:t>E. 3.2</w:t>
      </w:r>
    </w:p>
    <w:p>
      <w:r>
        <w:t>Die Beschwerdeführerin macht geltend, die Vorinstanz stütze sich für die Begründung ihres Entscheids auf ein elf Jahre altes, publiziertes Bundesgerichtsurteil (vgl. BGE 135 II 265 ). Es sei nicht mehr zeitgemäss, dass nach gefestigter Rechtsprechung des Bundesgerichts Ergänzungsleistungen im schweizerischen Ausländerrecht nicht zur Sozialhilfe gehörten, aber dennoch dem Verbleiberecht nach dem Freizügigkeitsabkommen entgegenstünden. Die Ergänzungsleistungen würden im Bereich des Freizügigkeitsabkommens zu Unrecht wie Sozialhilfe behandelt und eine ausländische Person mit EU-Staatsbürgerschaft verliere bei deren Bezug somit automatisch ihr Verbleiberecht. Dies stelle eine Diskriminierung der EU-Bürger und -Bürgerinnen gegenüber der schweizerischen Bevölkerung dar.</w:t>
      </w:r>
    </w:p>
    <w:p>
      <w:r>
        <w:rPr>
          <w:b/>
        </w:rPr>
        <w:t>E. 4</w:t>
      </w:r>
    </w:p>
    <w:p>
      <w:r>
        <w:t>Die Beschwerdeführerin beanstandet eine Verletzung des Freizügigkeitsabkommens. Zu Recht macht sie keinen Aufenthaltsanspruch gestützt auf das Bundesgesetz vom 16. Dezember 2005 über die Ausländerinnen und Ausländer und über die Integration (Ausländer- und Integrationsgesetz, AIG; SR 142.20; bis zum 31. Dezember 2018: Bundesgesetz über die Ausländerinnen und Ausländer [Ausländergesetz, AuG]) geltend.</w:t>
      </w:r>
    </w:p>
    <w:p>
      <w:r>
        <w:rPr>
          <w:b/>
        </w:rPr>
        <w:t>E. 4.1</w:t>
      </w:r>
    </w:p>
    <w:p>
      <w:r>
        <w:t>Das Freizügigkeitsabkommen gewährt neben einem Recht auf Aufenthalt zu einer selbständigen oder unselbständigen Erwerbstätigkeit auch ein Recht auf Aufenthalt für Personen, die im Aufenthaltsstaat keine Erwerbstätigkeit ausüben. Gemäss Art. 6 FZA wird das Aufenthaltsrecht im Hoheitsgebiet einer Vertragspartei den Personen, die keine Erwerbstätigkeit ausüben, gemäss den Bestimmungen des Anhangs I über Nichterwerbstätige eingeräumt. Laut Art. 24 Abs. 1 lit. a Anhang I FZA erhält eine Person, die die Staatsangehörigkeit einer Vertragspartei besitzt und keine Erwerbstätigkeit im Aufenthaltsstaat ausübt und dort kein Aufenthaltsrecht aufgrund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sodass sie während ihres Aufenthalts keine Sozialhilfe in Anspruch nehmen müssen. Das Aufenthaltsrecht besteht so lange, wie die berechtigte Person unter anderem diese Bedingung erfüllt (vgl. Art. 24 Abs. 8 Anhang I FZA ).</w:t>
      </w:r>
    </w:p>
    <w:p>
      <w:r>
        <w:rPr>
          <w:b/>
        </w:rPr>
        <w:t>E. 4.2</w:t>
      </w:r>
    </w:p>
    <w:p>
      <w:r>
        <w:t>Die Aufenthaltsregelung nach Art. 24 Anhang I FZA für nicht erwerbstätige Personen ist von ausreichenden finanziellen Mitteln abhängig, sodass die öffentlichen Finanzen des Aufenthaltsstaats nicht belastet werden. Dieser Regelungszweck würde vereitelt, sofern beitragsunabhängige Sonderleistungen, welche wesensgemäss die öffentlichen Finanzen belasten, nicht zur Sozialhilfe im Sinne von Art. 24 Abs. 1 lit. a Anhang I FZA gezählt würden. Ergänzungsleistungen werden daher der Sozialhilfe gemäss Art. 24 Abs. 1 lit. a Anhang I FZA gleichgesetzt. Die Erteilung der Bewilligung steht unter dieser Bedingung, weshalb sie - wenn die Bedingung nicht mehr erfüllt ist - widerrufen oder nicht mehr verlängert werden kann (vgl. Art. 24 Abs. 8 Anhang I FZA ). Nach der ständigen bundesgerichtlichen Rechtsprechung steht mit dieser freizügigkeitsrechtlichen Regelung nicht im Widerspruch, dass Ergänzungsleistungen im schweizerischen Ausländerrecht nicht zur Sozialhilfe gehören und deren Bezug daher nicht Anlass für den Widerruf oder die Nichtverlängerung einer Bewilligung sein kann (vgl. BGE 135 II 265 E. 3.7 S. 272; Urteil 2C_243/2015 vom 2. November 2015 E. 3.4; vgl. auch Urteile 2C_437/2019 vom 25. November 2019 E. 3.3; 2C_59/2017 vom 4. April 2017 E. 6; 2C_1171/2016 vom 26. Oktober 2017 E. 4.2).</w:t>
      </w:r>
    </w:p>
    <w:p>
      <w:r>
        <w:rPr>
          <w:b/>
        </w:rPr>
        <w:t>E. 4.3</w:t>
      </w:r>
    </w:p>
    <w:p>
      <w:r>
        <w:t>Aus dem vorinstanzlichen, für das Bundesgericht verbindlich festgestellten Sachverhalt ergibt sich, dass die Beschwerdeführerin neben dem Bezug von Ergänzungsleistungen in der Höhe von Fr. 2'522.-- per 30. Oktober 2017 auch zwölf Betreibungen in der Höhe von Fr. 12'646.45 sowie zehn Verlustscheine im Gesamtbetrag von Fr. 11'635.50 offen hatte (vgl. Ziff. A hiervor). Eine künftige Tilgung dieser Schulden erscheint unwahrscheinlich, zumal die Ergänzungsleistungen dem Betrag entsprechen, um den die anerkannten Ausgaben die anrechenbaren Einnahmen übersteigen (vgl. Art. 9 Abs. 1 des Bundesgesetzes vom 6. Oktober 2006 über Ergänzungsleistungen zur Alters-, Hinterlassenen- und Invalidenversicherung [ELG; SR 831.30]). Vor diesem Hintergrund ist nicht ersichtlich, weshalb die Beschwerdeführerin über ausreichende finanzielle Mittel im Sinne von Art. 24 Abs. 1 lit. a Anhang I FZA verfügen würde. Damit stösst zugleich die Rüge einer Verletzung des Diskriminierungsverbots ins Leere.</w:t>
      </w:r>
    </w:p>
    <w:p>
      <w:r>
        <w:rPr>
          <w:b/>
        </w:rPr>
        <w:t>E. 4.4</w:t>
      </w:r>
    </w:p>
    <w:p>
      <w:r>
        <w:t>Nichts anderes ergibt sich unter dem Gesichtspunkt des in Art. 4 Anhang I FZA geregelten Verbleiberechts. Demgemäss besteht ein Verbleiberecht in einem Mitgliedsstaat, sofern die arbeitnehmende oder selbständig erwerbstätige Person zu dem Zeitpunkt, in dem sie ihre Tätigkeit aufgibt, das nach der Gesetzgebung dieses Mitgliedstaats vorgeschriebene Alter für die Geltendmachung einer Altersrente erreicht hat (vgl. Art. 4 Anhang I FZA i.V.m. Art. 2 Abs. 1 lit. a der Verordnung [EWG] Nr. 1251/70 der Kommission vom 29. Juni 1970 über das Recht der Arbeitnehmer, nach Beendigung einer Beschäftigung im Hoheitsgebiet eines Mitgliedstaats zu verbleiben oder Art. 2 Abs. 1 lit. a der Richtlinie 75/34/EWG vom 17. Dezember 1974 über das Recht der Staatsangehörigen eines Mitgliedstaats, nach Beendigung der Ausübung einer selbständigen Tätigkeit im Hoheitsgebiet eines anderen Mitgliedstaats zu verbleiben). Insoweit die Beschwerdeführerin daraus einen Aufenthaltsanspruch ableiten vermöchte, ergibt sich aus ihrer Beschwerde nicht in hinreichender Weise, weshalb sie die diesbezüglichen Voraussetzungen erfüllen würde. Vielmehr ist ersichtlich, dass die Beschwerdeführerin diese Voraussetzungen - insbesondere das Erreichen des Rentenalters im Zeitpunkt der Aufgabe ihrer Tätigkeit - offensichtlich nicht erfüllt.</w:t>
      </w:r>
    </w:p>
    <w:p>
      <w:r>
        <w:rPr>
          <w:b/>
        </w:rPr>
        <w:t>E. 4.5</w:t>
      </w:r>
    </w:p>
    <w:p>
      <w:r>
        <w:t>Zusammenfassend ergibt sich, dass sich die Beschwerdeführerin auf keinen Aufenthaltsanspruch aus dem Freizügigkeitsabkommen stützen kann.</w:t>
      </w:r>
    </w:p>
    <w:p>
      <w:r>
        <w:rPr>
          <w:b/>
        </w:rPr>
        <w:t>E. 5</w:t>
      </w:r>
    </w:p>
    <w:p>
      <w:r>
        <w:t>Mangels Anspruch auf Verlängerung der Aufenthaltsbewilligung EU/ EFTA ist auf die Vorbringen der Beschwerdeführerin zur Verhältnismässigkeit der vorinstanzlichen Ausführungen nicht weiter einzugehen (vgl. Art. 83 lit. c Ziff. 2 BGG ; vgl. auch E. 7 des angefochtenen Urteils). Insoweit die Beschwerdeführerin eine Verletzung von Art. 8 Abs. 2 BV , Art. 14 EMRK und Art. 2 Abs. 1 des Internationalen Pakts über bürgerliche und politische Rechte vom 16. Dezember 1966 (UNO-Pakt II; SR 0.103.2) sowie Art. 26 UNO-Pakt II geltend macht, genügen ihre Vorbringen nicht den Anforderungen von Art. 106 Abs. 2 BGG (vgl. E. 2hiervor).</w:t>
      </w:r>
    </w:p>
    <w:p>
      <w:r>
        <w:rPr>
          <w:b/>
        </w:rPr>
        <w:t>E. 6</w:t>
      </w:r>
    </w:p>
    <w:p>
      <w:r>
        <w:t>Im Ergebnis erweist sich die Beschwerde als unbegründet, weshalb sie abzuweisen ist.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