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2C_215/2012 vom 17. März 2012</w:t>
      </w:r>
    </w:p>
    <w:p>
      <w:r>
        <w:t>Bundesgericht, 2012-03-17, DE</w:t>
      </w:r>
    </w:p>
    <w:p>
      <w:r>
        <w:rPr>
          <w:b/>
        </w:rPr>
        <w:t xml:space="preserve">Quelle: </w:t>
      </w:r>
      <w:r>
        <w:t>https://mcp.opencaselaw.ch/entscheid/bger_2C_215_2012</w:t>
      </w:r>
    </w:p>
    <w:p>
      <w:r>
        <w:t>FR: TF 2C_215/2012 du 17 mars 2012</w:t>
      </w:r>
    </w:p>
    <w:p>
      <w:r>
        <w:t>IT: TF 2C_215/2012 del 17 marzo 2012</w:t>
      </w:r>
    </w:p>
    <w:p>
      <w:pPr>
        <w:pStyle w:val="Heading2"/>
      </w:pPr>
      <w:r>
        <w:t>Erwägungen</w:t>
      </w:r>
    </w:p>
    <w:p>
      <w:r>
        <w:rPr>
          <w:b/>
        </w:rPr>
        <w:t>E. 1.1</w:t>
      </w:r>
    </w:p>
    <w:p>
      <w:r>
        <w:t>Das Bundesgericht prüft von Amtes wegen und mit freier Kognition, ob und inwiefern auf eine Beschwerde einzutreten ist ( BGE 135 III 1 E. 1.1; 132 III 291 E. 1). Immerhin muss die Eingabe auch hinsichtlich der Prozessvoraussetzungen minimal begründet werden ( Art. 42 BGG , vgl. BGE 137 III 522 E. 1.3 mit Hinweis). Die Beschwerdeführerin macht geltend, beim angefochtenen Entscheid handle es sich um einen Teilentscheid, welcher das Verfahren für gewisse Streitgenossen - nämlich die PharmaSuisse als Anzeigerin - im Sinne von Art. 91 lit. b BGG abschliesse, weshalb er beim Bundesgericht separat angefochten werden könne. Ihre entsprechenden Ausführungen überzeugen nicht: Bei Art. 91 lit. b BGG geht es um die subjektive Klagenhäufung, d.h. den Fall, dass mehrere Personen, die aus den gleichen Tatsachen oder Rechtsgründen berechtigt oder verpflichtet sind, gemeinsam als Kläger auftreten oder als Beklagte belangt werden (vgl. FELIX UHLMANN, in: Niggli/Uebersax/Wiprächtiger, BSK Bundesgerichtsgesetz, 2. Aufl. 2011, N. 7 zu Art. 91 BGG ). Eine solche Ausgangslage steht hier offensichtlich nicht zur Diskussion. Im Übrigen hat das Departement für Finanzen und Soziales zwar erstinstanzlich befunden, dass dem Beschwerdegegner keine Parteistellung zukomme, das Verwaltungsgericht als bundesgerichtliche Vorinstanz hat indessen gerade umgekehrt entschieden. Der angefochtene Entscheid schliesst das Verfahren für einen Teil der "Streitgenossen" damit nicht ab, sondern ermöglicht es einer zusätzlichen Partei, sich an diesem zu beteiligen (vgl. das Urteil 4A_462/2010 vom 17. November 2010 E. 1.2). Nur wenn das Verwaltungsgericht im Sinne der Beschwerdeführerin entschieden hätte, wäre das Verfahren kantonal letztinstanzlich für den Beschwerdegegner beendet gewesen, wogegen er - losgelöst vom Entscheid in der Sache selber - an das Bundesgericht hätte gelangen können.</w:t>
      </w:r>
    </w:p>
    <w:p>
      <w:r>
        <w:rPr>
          <w:b/>
        </w:rPr>
        <w:t>E. 1.2.1</w:t>
      </w:r>
    </w:p>
    <w:p>
      <w:r>
        <w:t>Beim angefochtenen Urteil handelt es sich somit nicht um einen Teilentscheid, der das kantonale Verfahren für einen Beteiligten abschliesst, sondern um einen Zwischenentscheid. Da dieser weder die Zuständigkeit noch den Ausstand betrifft (vgl. Art. 92 BGG ), ist er nur anfechtbar, falls er einen nicht wieder gutzumachenden Nachteil bewirkt ( Art. 93 Abs. 1 lit. a BGG ) oder wenn die Gutheissung der Beschwerde sofort einen Endentscheid herbeiführen kann und damit einen bedeutenden Aufwand an Zeit und Kosten für ein weitläufiges Beweisverfahren erspart ( Art. 93 Abs. 1 lit. b BGG ). Mit einem bundesgerichtlichen Urteil über die Parteistellung des Beschwerdegegners im Verfahren vor dem Departement für Finanzen und Soziales kann in der Sache kein Endentscheid herbeigeführt werden, da das Verfahren so oder anders durchgeführt werden muss. Die Beschwerde ist deshalb bloss zulässig, falls die Voraussetzungen von Art. 93 Abs. 1 lit. a BGG gegeben sind.</w:t>
      </w:r>
    </w:p>
    <w:p>
      <w:r>
        <w:rPr>
          <w:b/>
        </w:rPr>
        <w:t>E. 1.2.2</w:t>
      </w:r>
    </w:p>
    <w:p>
      <w:r>
        <w:t>Der im Sinne dieser Bestimmung nicht wieder gutzumachende Nachteil muss rechtlicher Natur bzw. durch einen für den Beschwerdeführer günstigen Endentscheid nicht oder nicht mehr vollständig zu beheben sein ( BGE 137 III 380 E. 1.2.1; 134 III 188 E. 2.1; 133 III 629 E. 2.3 S. 632; 133 IV 139 E. 4 S. 141). Dabei ist nicht erforderlich, dass der Nachteil schon im vorinstanzlichen Verfahren durch einen günstigen Endentscheid beseitigt wird; es genügt, falls dies im anschliessenden bundesgerichtlichen Verfahren möglich ist ( BGE 134 III 188 E. 2.1; 133 IV 139 E. 4 ; 126 I 97 E. 1b S. 100 f.; 117 Ia 251 E. 1b S. 254). Die blosse Verlängerung oder Verteuerung des Verfahrens bildet keinen nicht wieder gutzumachender Nachteil rechtlicher Natur ( BGE 137 III 522 E. 1.3; 136 II 165 E. 1.2.1 S. 170; Urteile 2C_475/ 2011 vom 13. Dezember 2011 E. 2.3 und 2C_687/2009 vom 17. Februar 2010 E. 1.3.2 und 1.3.3, je mit Hinweisen). Das Bundesgericht soll sich regelmässig nur einmal mit einem Fall befassen müssen und diesen insgesamt beurteilen können ( BGE 133 III 629 E. 2.1 S. 631 mit Hinweisen). Nur wenn prozessökonomische Gründe eine frühere Befassung zwingend gebieten und mit der Öffnung des Rechtswegs kein verfahrensrechtlicher Leerlauf verbunden ist, rechtfertigt es sich, allenfalls ein Zwischenverfahren einzuleiten ( BGE 133 III 629 E. 2.1).</w:t>
      </w:r>
    </w:p>
    <w:p>
      <w:r>
        <w:rPr>
          <w:b/>
        </w:rPr>
        <w:t>E. 1.2.3</w:t>
      </w:r>
    </w:p>
    <w:p>
      <w:r>
        <w:t>Im vorliegenden Zusammenhang ist - entgegen den Ausführungen der Beschwerdeführerin - kein nicht wieder gutzumachender Nachteil ersichtlich: Zwar wird das Verfahren bei einer Teilnahme des Beschwerdegegners allenfalls aufwändiger, dies bildet indessen nur einen faktischen und keinen rechtlichen Nachteil. Sollten die Vorinstanzen zuungunsten der Beschwerdeführerin entscheiden, steht es ihr frei, ein entsprechendes Urteil an das Bundesgericht weiterzuziehen; andernfalls fällt von vornherein jeglicher mit der Beteiligung des Beschwerdegegners am Verfahren verbundener Nachteil dahin. Zwar ist die Verpflichtung, der Gegenpartei Dokumente offenlegen zu müssen, welche Geschäftsgeheimnisse enthalten, geeignet, einen nicht wieder gutzumachenden Nachteil zu bewirken (vgl. BGE 129 II 183 E. 3.2.2 S. 187 f.), doch kann dem hier durch eine sachgerechte Ausgestaltung des Akteneinsichtsrechts (Abdeckungen usw.) Rechnung getragen werden (vgl. die Urteile 4A.64/2011 vom 1. September 2011 E. 3.2 u. 3.3; 2C_80/2008 vom 12. März 2008 E. 2.3; 4A_232/2007 vom 2. Oktober 2007 E. 1.3.2, nicht publ. in BGE 133 III 634 ff.); die Offenlegung erfolgt unmittelbar dem Departement und nicht dem Beschwerdegegner gegenüber. Die Beschwerdeführerin sieht schliesslich auch zu Unrecht einen nicht wieder gutzumachenden Nachteil darin, dass eine Verfassungskontrolle später nicht mehr möglich wäre: Nach Art. 93 Abs. 3 BGG können Zwischenentscheide, die nicht anfechtbar waren, mit der Beschwerde gegen den Endentscheid beanstandet werden, soweit sie sich noch auf dessen Inhalt auswirken. Zwar hat das Bundesgericht entschieden, dass die Pflicht zur Teilnahme am Sexualkundeunterricht im Rahmen der obligatorischen Schulpflicht wegen des damit verbundenen, nicht rückgängig zu machenden Eingriffs in verschiedene materielle Grundrechte (Recht auf persönliche Freiheit, Schutz der Kinder, Glaubens- und Gewissensfreiheit usw.) im Rahmen des Entscheids über vorsorgliche Massnahmen einen nicht wieder gutzumachenden Nachteil rechtlicher Natur bildet (vgl. das Urteil 2C_105/2012 vom 29. Februar 2012 E. 2.2.4), doch ist diese Situation nicht mit der vorliegenden vergleichbar, wo die Beschwerdeführerin verschiedene Verletzungen verfahrensrechtlicher Garantien (Begründungspflicht usw.) und des Willkürverbots im Zusammenhang mit der Auslegung des kantonalen Rechts rügt. Sie wird diese Vorbringen ohne nicht wieder gutzumachende Beeinträchtigung ihrer verfassungsmässigen Rechte vor Bundesgericht nötigenfalls gegen den Endentscheid vorbringen können.</w:t>
      </w:r>
    </w:p>
    <w:p>
      <w:r>
        <w:rPr>
          <w:b/>
        </w:rPr>
        <w:t>E. 2</w:t>
      </w:r>
    </w:p>
    <w:p>
      <w:r>
        <w:t>Da auf die Beschwerde demnach nicht einzutreten ist, hat die unterliegende Beschwerdeführerin die Kosten für das bundesgerichtliche Verfahren zu tragen ( Art. 66 Abs. 1 BGG ). Es sind keine Parteientschädigungen geschuldet, weil davon abgesehen wurde, einen Schriftenwechsel durchzuführen und dem Beschwerdegegner somit kein nennenswerter Aufwand entstehen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