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2C_212/2017 vom 19. April 2017</w:t>
      </w:r>
    </w:p>
    <w:p>
      <w:r>
        <w:t>Bundesgericht, 2017-04-19, FR</w:t>
      </w:r>
    </w:p>
    <w:p>
      <w:r>
        <w:rPr>
          <w:b/>
        </w:rPr>
        <w:t xml:space="preserve">Quelle: </w:t>
      </w:r>
      <w:r>
        <w:t>https://mcp.opencaselaw.ch/entscheid/bger_2C_212_2017</w:t>
      </w:r>
    </w:p>
    <w:p>
      <w:r>
        <w:t>FR: TF 2C_212/2017 du 19 avril 2017</w:t>
      </w:r>
    </w:p>
    <w:p>
      <w:r>
        <w:t>IT: TF 2C_212/2017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l'intéressée contre la décision du Département modifiant son cahier des charges et suspend la procédure y relative devant la Cour de justice, a été rendue dans une procédure fondée sur le droit public cantonal, plus particulièrement sur la LIP/GE. La recourante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la recourante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de la recourante.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La recourante est liée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la recourante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La recourante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l'intéressée,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la recourante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la recourante, il ne ressort pas des faits constatés dans la décision entreprise, qui lient la Cour de céans ( art. 105 al. 1 LTF ), que la modification du cahier des charges de l'intéressée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de la recourante est très souple, et ne prévoit pas - hormis en ce qui concerne la modification litigieuse - un pourcentage ou un nombre d'heures minimum que l'intéressée devrait consacrer à chacune de ses tâches ( art. 105 al. 2 LTF ). En d'autres termes, le nouveau cahier des charges se limite à obliger la recourante à prévoir, dans son emploi du temps, "une à deux périodes par semaine" consacrées à des "missions d'enseignement et d'actions pédagogiques face aux élèves". Il ne contraint donc pas forcément la directrice à travailler plus, mais lui impose de s'organiser différemment. Par ailleurs, il ressort de la décision attaquée que des éventuelles heures supplémentaires seraient compensées, dans la mesure où elles devraient excéder cent heures par année. En outre, l'intéressée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directrice,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à la recourante sur le fond, ne saurait relever de l' art. 93 al. 1 let. a LTF .</w:t>
      </w:r>
    </w:p>
    <w:p>
      <w:r>
        <w:t>Dans ces circonstances, on ne voit pas que la décision de la Cour de justice refusant la restitution de l'effet suspensif au recours de l'intéressée contre la décision du Département serait susceptible de causer à la recourante un préjudice irréparable justifiant de lui permettre de recourir immédiatement au Tribunal fédéral.</w:t>
      </w:r>
    </w:p>
    <w:p>
      <w:r>
        <w:rPr>
          <w:b/>
        </w:rPr>
        <w:t>E. 1.4.3</w:t>
      </w:r>
    </w:p>
    <w:p>
      <w:r>
        <w:t>Quant à la suspension de la procédure devant la Cour de justice, également contestée par la recourante,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de la recourante,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