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2C_210/2007 vom 5. September 2007</w:t>
      </w:r>
    </w:p>
    <w:p>
      <w:r>
        <w:t>Bundesgericht, 2007-09-05, FR</w:t>
      </w:r>
    </w:p>
    <w:p>
      <w:r>
        <w:rPr>
          <w:b/>
        </w:rPr>
        <w:t xml:space="preserve">Quelle: </w:t>
      </w:r>
      <w:r>
        <w:t>https://mcp.opencaselaw.ch/entscheid/bger_2C_210_2007</w:t>
      </w:r>
    </w:p>
    <w:p>
      <w:r>
        <w:t>FR: TF 2C_210/2007 du 5 septembre 2007</w:t>
      </w:r>
    </w:p>
    <w:p>
      <w:r>
        <w:t>IT: TF 2C_210/2007 del 5 settembre 2007</w:t>
      </w:r>
    </w:p>
    <w:p>
      <w:pPr>
        <w:pStyle w:val="Heading2"/>
      </w:pPr>
      <w:r>
        <w:t>Erwägungen</w:t>
      </w:r>
    </w:p>
    <w:p>
      <w:r>
        <w:rPr>
          <w:b/>
        </w:rPr>
        <w:t>E. 1</w:t>
      </w:r>
    </w:p>
    <w:p>
      <w:r>
        <w:t>L'arrêt attaqué a été rendu après l'entrée en vigueur, le 1er janvier 2007 (RO 2006 p. 1242), de la loi fédérale du 17 juin 2005 sur le Tribunal fédéral (LTF; RS 173.110), de sorte que celle-ci s'applique à la présente cause ( art. 132 al. 1 LTF ).</w:t>
      </w:r>
    </w:p>
    <w:p>
      <w:r>
        <w:rPr>
          <w:b/>
        </w:rPr>
        <w:t>E. 2.1</w:t>
      </w:r>
    </w:p>
    <w:p>
      <w:r>
        <w:t>Les recourants critiquent à bon droit le fait que la décision attaquée mentionne seulement Y.________ comme partie à la procédure. En effet, le recours du 30 août 2006 a été interjeté par le même mandataire qui agissait aussi bien au nom de cette dernière que de X.________. Celui-ci avait qualité pour recourir: le conjoint de la personne qui demande à entrer en Suisse au titre du regroupement familial étant également touché, de manière indirecte, par le refus de la demande, il a qualité pour recourir en procédure fédérale et, partant, aussi devant les instances cantonales (cf. art. 98a al. 3 de la loi fédérale du 16 décembre 1943 d'organisation judiciaire [OJ, en vigueur jusqu'au 31 décembre 2006]; art. 111 al. 1 LTF ). La décision entreprise ne contenant aucune motivation à cet égard, le fait que le prénommé n'y figure pas comme partie semble procéder d'une inadvertance. Il convient donc de lui reconnaître cette qualité en procédure fédérale.</w:t>
      </w:r>
    </w:p>
    <w:p>
      <w:r>
        <w:rPr>
          <w:b/>
        </w:rPr>
        <w:t>E. 2.2</w:t>
      </w:r>
    </w:p>
    <w:p>
      <w:r>
        <w:t>Selon l'art. 83 lettre c ch. 2 LTF, le recours en matière de droit public est irrecevable contre les décisions en matière de droit des étrangers qui concernent une autorisation à laquelle ni le droit fédéral ni le droit international ne donnent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en matière de droit public est irrecevable, à moins que ne puisse être invoquée une disposition particulière du droit fédéral ou d'un traité accordant le droit à la délivrance d'une telle autorisation (cf. ATF 131 II 339 consid. 1 p. 342; 130 II 388 consid. 1.1 p. 389, 281 consid. 2.1 p. 284 et les arrêts cités).</w:t>
      </w:r>
    </w:p>
    <w:p>
      <w:r>
        <w:t>En vertu de l' art. 17 al. 2 LSEE , le conjoint d'un étranger titulaire d'une autorisation d'établissement a droit à une autorisation de séjour aussi longtemps que les époux vivent ensemble.</w:t>
      </w:r>
    </w:p>
    <w:p>
      <w:r>
        <w:t>Par ailleurs, 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w:t>
      </w:r>
    </w:p>
    <w:p>
      <w:r>
        <w:t>Au demeurant, le point de savoir si les conditions mises à l'octroi de l'autorisation de séjour sont, ou non, remplies est une question de fond et non de recevabilité ( ATF 119 Ib 81 consid. 2a p. 84; 118 Ib 153 consid. 2a p. 158).</w:t>
      </w:r>
    </w:p>
    <w:p>
      <w:r>
        <w:rPr>
          <w:b/>
        </w:rPr>
        <w:t>E. 2.3</w:t>
      </w:r>
    </w:p>
    <w:p>
      <w:r>
        <w:t>En l'occurrence, il est douteux que le mariage célébré le 6 janvier 2006 à Kinshasa puisse être en l'état reconnu en Suisse et retranscrit à l'état civil. A défaut de reconnaissance, les recourants ne peuvent se prévaloir des art. 17 al. 2 LSEE et 8 par. 1 CEDH - ni d'une autre disposition de nature à fonder un droit à l'autorisation de séjour -, de sorte que leur recours devrait être déclaré irrecevable. Il n'est toutefois pas nécessaire de trancher la question de manière définitive. En effet, à supposer que le recours soit recevable, il devrait être rejeté sur le fond, une des conditions de l'octroi de l'autorisation de séjour faisant défaut, comme il convient de le montrer à présent.</w:t>
      </w:r>
    </w:p>
    <w:p>
      <w:r>
        <w:rPr>
          <w:b/>
        </w:rPr>
        <w:t>E. 3.1</w:t>
      </w:r>
    </w:p>
    <w:p>
      <w:r>
        <w:t>Le droit à une autorisation de séjour dans le cadre d'un regroupement familial qui est reconnu par l' art. 17 al. 2 LSEE n'est pas absolu. Il s'éteint si l'ayant droit a enfreint l'ordre public et, évidemment, s'il existe un motif d'expulsion ( art. 10 al. 1 LSEE ). Le droit au respect de la vie privée et familiale garanti par l' art. 8 par. 1 CEDH n'est pas non plus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Pour que le regroupement familial puisse être refusé en raison du motif d'expulsion figurant à l'art. 10 al. 1 lettre d LSEE, il faut qu'il existe un danger concret que les membres de la famille tombent d'une manière continue et dans une large mesure à la charge de l'assistance publique. Le simple risque n'est pas suffisant (cf. ATF 125 II 633 consid. 3c p. 641; 122 II 1 consid. 3c p. 8; 119 Ib 81 consid. 2d p. 87). La notion d'assistance publique doit être interprétée dans un sens technique. 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 ATF 122 II 1 consid. 3c p. 8; 119 Ib 1 consid. 3b et 3c p. 6/7). Comme le regroupement familial vise à réunir une même famille, il faut prendre en compte la disponibilité de chacun de ses membres à participer financièrement à cette communauté et à réaliser un revenu. Celui-ci doit être concret et vraisemblable et, autant que possible, ne pas apparaître purement temporaire ( ATF 122 II 1 consid. 3c p. 8/9). En outre, le refus d'octroyer une autorisation de séjour au conjoint étranger d'une personne bénéficiant d'une autorisation d'établissement sur la base de l'art. 10 al. 1 lettre d LSEE suppose une pesée des intérêts en présence en vertu de l' art. 17 al. 2 LSEE aussi bien que de l' art. 8 par. 2 CEDH (cf. ATF 120 Ib 129 consid. 4a et 4b p. 131).</w:t>
      </w:r>
    </w:p>
    <w:p>
      <w:r>
        <w:rPr>
          <w:b/>
        </w:rPr>
        <w:t>E. 3.2</w:t>
      </w:r>
    </w:p>
    <w:p>
      <w:r>
        <w:t>Selon les pièces figurant au dossier de l'autorité intimée, le recourant a quitté son emploi auprès de la société A.________ SA pour être engagé, à partir du 1er octobre 2006, dans la blanchisserie de la société B.________ SA, à Montreux. Le taux d'activité est de 100%, pour un salaire brut de 2'770 fr. par mois. En novembre 2006, le recourant faisait l'objet de 10 poursuites, pour un montant total de 10'698 fr. 50. Durant la période allant du 14 novembre 2001 au 23 août 2006, huit actes de défaut de biens ont été délivrés à son encontre, pour un montant total de 8'492 fr. 95.</w:t>
      </w:r>
    </w:p>
    <w:p>
      <w:r>
        <w:t>Il apparaît ainsi que le recourant ne parvient pas à vivre avec son salaire. Il a accumulé des dettes qui ne sont pas négligeables, surtout si on les met en relation avec le salaire réalisé au service de son nouvel employeur. De plus, la situation perdure depuis quelques années et a tendance à s'aggraver. Dans ces conditions, il est douteux que le recourant parvienne à subvenir à l'entretien de son épouse. Celle-ci dispose certes d'une promesse d'engagement comme dame de buffet au bar "C.________" (à 100%, avec un salaire horaire brut de 17 fr. 50), mais encore faut-il qu'elle obtienne effectivement et conserve cet emploi. Elle serait également amenée à abandonner ou tout au moins à réduire son activité, si le couple avait des enfants. Dans ces conditions, force est d'admettre l'existence d'un danger concret que les recourants tombent à la charge de l'assistance publique. Partant, l'autorité intimée n'a pas violé le droit fédéral en confirmant le refus d'octroyer l'autorisation sollicitée.</w:t>
      </w:r>
    </w:p>
    <w:p>
      <w:r>
        <w:rPr>
          <w:b/>
        </w:rPr>
        <w:t>E. 4</w:t>
      </w:r>
    </w:p>
    <w:p>
      <w:r>
        <w:t>Les considérants qui précèdent conduisent au rejet du recours dans la mesure où il est recevable.</w:t>
      </w:r>
    </w:p>
    <w:p>
      <w:r>
        <w:t>Succombant, les recourants supportent les frais judiciaires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