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2C_20/2016 vom 8. April 2016</w:t>
      </w:r>
    </w:p>
    <w:p>
      <w:r>
        <w:t>Bundesgericht, 2016-04-08, DE</w:t>
      </w:r>
    </w:p>
    <w:p>
      <w:r>
        <w:rPr>
          <w:b/>
        </w:rPr>
        <w:t xml:space="preserve">Quelle: </w:t>
      </w:r>
      <w:r>
        <w:t>https://mcp.opencaselaw.ch/entscheid/bger_2C_20_2016</w:t>
      </w:r>
    </w:p>
    <w:p>
      <w:r>
        <w:t>FR: TF 2C_20/2016 du 8 avril 2016</w:t>
      </w:r>
    </w:p>
    <w:p>
      <w:r>
        <w:t>IT: TF 2C_20/2016 del 8 aprile 2016</w:t>
      </w:r>
    </w:p>
    <w:p>
      <w:pPr>
        <w:pStyle w:val="Heading2"/>
      </w:pPr>
      <w:r>
        <w:t>Erwägungen</w:t>
      </w:r>
    </w:p>
    <w:p>
      <w:r>
        <w:rPr>
          <w:b/>
        </w:rPr>
        <w:t>E. 1</w:t>
      </w:r>
    </w:p>
    <w:p>
      <w:r>
        <w:t>Gegen den kantonal letztinstanzlichen Endentscheid in einer Angelegenheit des öffentlichen Rechts ist die Beschwerde in öffentlich-rechtlichen Angelegenheiten zulässig ( Art. 82 lit. a, Art. 86 Abs. 1 lit. d und Art. 90 BGG ).</w:t>
      </w:r>
    </w:p>
    <w:p>
      <w:r>
        <w:rPr>
          <w:b/>
        </w:rPr>
        <w:t>E. 2</w:t>
      </w:r>
    </w:p>
    <w:p>
      <w:r>
        <w:t>Zu prüfen ist die Legitimation des Beschwerdeführers.</w:t>
      </w:r>
    </w:p>
    <w:p>
      <w:r>
        <w:rPr>
          <w:b/>
        </w:rPr>
        <w:t>E. 2.1</w:t>
      </w:r>
    </w:p>
    <w:p>
      <w:r>
        <w:t>Die Beschwerde ist namens des Staates Zürich erhoben und vom Amtschef des kantonalen Amtes für Jugend und Berufsberatung unterschrieben, der eine Vollmacht der Vorsteherin der Bildungsdirektion vorlegt. Ein Kanton wird grundsätzlich vor Gericht durch seine oberste Exekutivbehörde, d.h. den Regierungsrat, vertreten, welcher den Kanton von Verfassungs wegen nach aussen vertritt (vgl. auch Art. 71 Abs. 1 lit. c der Verfassung des Kantons Zürich vom 27. Februar 2005 [KV/ZH; SR 131.211]). Will eine nachgeordnete Behörde namens des Kantons Beschwerde führen, hat sie ihre Vertretungsbefugnis explizit darzutun, sei es durch einen entsprechenden speziellen Ermächtigungsbeschluss der Kantonsregierung oder durch Angabe der sie zur Prozessführung namens des Kantons berechtigenden kantonalen Vorschriften ( BGE 141 I 253 E. 3.3 S. 256; 136 V 351 E. 2.4 S. 354). Der Beschwerdeführer beruft sich darauf, dass gemäss § 47 der kantonalen Finanzcontrollingverordnung vom 5. März 2008 (FCV; LS 611.2) bei Streitwerten von weniger als 400'000 Franken die zuständige Direktion über die Führung eines Prozesses entscheidet. Die Vertretungsbefugnis der Bildungsdirektion bzw. des von ihr bevollmächtigten Amtschefs ist daher zu bejahen. Zu prüfen ist jedoch, ob der Kanton als solcher zur Beschwerde legitimiert ist.</w:t>
      </w:r>
    </w:p>
    <w:p>
      <w:r>
        <w:rPr>
          <w:b/>
        </w:rPr>
        <w:t>E. 2.2</w:t>
      </w:r>
    </w:p>
    <w:p>
      <w:r>
        <w:t>Besondere Zurückhaltung ist geboten, wenn sich Organe desselben Gemeinwesens gegenüberstehen, namentlich die kantonalen Exekutivbehörden und das kantonale Verwaltungsgericht: Der Vorschlag des Bundesrats, die Kantonsregierungen in gewissen Fällen zur Anfechtung der Entscheide kantonaler Gerichte zu berechtigen, wurde in den Räten gestrichen (s. zur Entstehungsgeschichte BGE 140 V 328 E. 5.2 S. 331 f.; Urteil 8C_1025/2009 vom 19. August 2010 E. 3.3.4.1; MICHAEL PFLÜGER, Die Legitimation des Gemeinwesens zur Beschwerde in öffentlich-rechtlichen Angelegenheiten, 2013, S. 203 ff.). Entscheidend für diese Streichung des Beschwerderechts war dabei der Wille des Gesetzgebers, dass Streitigkeiten zwischen der obersten Exekutivbehörde und der obersten Justizbehörde eines Kantons nicht vom Bundesgericht entschieden werden sollen (PFLÜGER, a.a.O., S. 205). Eine kantonale Exekutive, deren Verfügung von der kantonal letztinstanzlichen Justizbehörde aufgehoben wurde, ist daher grundsätzlich nicht befugt, Beschwerde in öffentlich-rechtlichen Angelegenheiten zur Wiederherstellung ihrer Verfügung zu führen, erst recht dann nicht, wenn es um die Auslegung und Anwendung von kantonalem Recht geht ( BGE 136 II 383 E. 2.5/2.6 S. 387 f.; 136 V 346 E. 3.5 S. 350; 134 V 53 E. 2.3.3 S. 58 ff.; Urteil 8C_1025/2009 vom 19. August 2010 E. 3.3.4.2 und 3.4; PFLÜGER, a.a.O., S. 136 f., 146 f., 162 f.; 205 ff.).</w:t>
      </w:r>
    </w:p>
    <w:p>
      <w:r>
        <w:rPr>
          <w:b/>
        </w:rPr>
        <w:t>E. 2.3</w:t>
      </w:r>
    </w:p>
    <w:p>
      <w:r>
        <w:t>Im soeben zitierten Urteil ging es um eine Beschwerde des Kantons Zürich, vertreten durch das Amt für Jugend und Berufsberatung, gegen ein Urteil des kantonalen Verwaltungsgerichts, worin dieses den Kanton verpflichtete, Ausbildungsstipendien zu bezahlen. Das Bundesgericht verneinte die Legitimation des Kantons mit der Begründung, im konkreten Fall gehe es um einen Streitwert von Fr. 5'700.--, allerdings habe das Urteil gemäss Darstellung des Beschwerdeführers infolge seiner Präjudizwirkung Mehrkosten von jährlich rund 3,8 Mio. Franken zur Folge (im Rahmen einer Maximalprognose sogar nahezu 37 Mio. Franken pro Jahr). Doch sei nicht ersichtlich, inwiefern es dabei um über das rein Finanzielle hinausgehende Interessen an der öffentlichen Aufgabenerfüllung gehen könnte. Dass das angefochtene Urteil einen zentralen Aspekt des Stipendienwesens beträfe und dessen System als Ganzes selber in Frage stellen würde, sei jedenfalls nicht dargetan. Sowohl im konkreten Fall als auch in Bezug auf die Präzedenzwirkung des angefochtenen Urteils gehe es vielmehr einzig um die Auswirkungen auf die Kantonsfinanzen. In dieser Konstellation sei die Legitimation des Kantons zu verneinen. Es verhalte sich anders als in den Fällen, in denen sich Gemeinden wehrten gegen kantonale Entscheide über die Aufgaben- und Kostenverteilung zwischen Kanton und Gemeinden oder die Kostentragung von Gemeinden; der Kanton wehre sich hier nicht gegen einen Entscheid, mit dem ihm eine hierarchisch höher stehende Körperschaft eine finanzielle Belastung direkt auferlege, sondern es gehe um eine Organstreitigkeit zwischen der kantonalen Exekutive und der kantonalen Judikative, für deren Beurteilung durch das Bundesgericht die Voraussetzungen fehlten. Es sei Sache des Kantons, den Konflikt selber zu schlichten, beispielsweise auf dem Wege einer Gesetzesrevision ( BGE 141 II 161 E. 2.4 S. 167 f.). Auf die Beschwerde wurde daher nicht eingetreten.</w:t>
      </w:r>
    </w:p>
    <w:p>
      <w:r>
        <w:rPr>
          <w:b/>
        </w:rPr>
        <w:t>E. 2.4</w:t>
      </w:r>
    </w:p>
    <w:p>
      <w:r>
        <w:t>Vorliegend verhält es sich ähnlich wie im zitierten Urteil. Zwar ging es dort um eine Streitigkeit zwischen dem Kanton und einer Privaten, während hier ein Streit zwischen dem Kanton und einer Gemeinde zur Diskussion steht. Das ändert aber nichts daran, dass sich der Kanton nicht gegen einen Entscheid wehrt, mit dem ihm eine hierarchisch höher stehende Körperschaft eine finanzielle Belastung auferlegt; es geht vielmehr um eine Anwendung kantonalen Rechts, welches vom Verwaltungsgericht anders ausgelegt wird als vom Regierungsrat und der Bildungsdirektion. Gemäss Darstellung des Beschwerdeführers ist aufgrund des angefochtenen Entscheids allein für das Jahr 2015 mit Rückforderungen seitens von Gemeinden in der Höhe von über 11 Millionen Franken zu rechnen. Es geht damit um die finanziellen Folgen der Verwaltungstätigkeit, welche den Kanton in seiner Stellung als hoheitlich verfügende Behörde treffen; das finanzielle Interesse des Kantons deckt sich mit der Frage der richtigen Rechtsanwendung, was nach der Entstehungsgeschichte von Art. 89 Abs. 1 BGG ( BGE 140 V 328 E. 5.2 S. 331 f.) zur Legitimation nicht genügt, auch dann nicht, wenn der angefochtene Entscheid Präzedenzwirkung für weitere Fälle mit u.U. erheblichen Auswirkungen auf die Kantonsfinanzen hat ( BGE 141 II 161 E. 2.3 S. 165 ff.; 138 II 506 E. 2.4 S. 512).</w:t>
      </w:r>
    </w:p>
    <w:p>
      <w:r>
        <w:t>Darüber hinaus bringt der Beschwerdeführer freilich vor, die Kostenpflicht des Kantons würde zu Fehlanreizen führen, weil die Gemeinden versucht sein könnten, Kinder ausserhalb des Kantons zu platzieren, um für sich eine finanzielle Belastung zu vermeiden; damit würde die funktionierende Heimversorgung innerhalb des Kantons gefährdet. Es steht jedoch dem Kanton frei, die Gesetzgebung abzuändern und damit eine Klärung in seinem Sinne herbeizuführen, wenn dies dem Willen des Gesetzgebers entspricht.</w:t>
      </w:r>
    </w:p>
    <w:p>
      <w:r>
        <w:rPr>
          <w:b/>
        </w:rPr>
        <w:t>E. 3</w:t>
      </w:r>
    </w:p>
    <w:p>
      <w:r>
        <w:t>Auf die Beschwerde ist daher nicht einzutreten. Bei diesem Ausgang des Verfahrens hat der Kanton Zürich, um dessen Vermögensinteressen es geht, die Gerichtskosten zu tragen ( Art. 66 Abs. 1 und 4 BGG ). Die Beschwerdegegnerin hat, obwohl anwaltlich vertreten, keinen Anspruch auf Parteientschädigung ( Art. 68 Abs. 3 BGG ; BGE 134 II 117 E. 7 S. 118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