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2C_20/2009 vom 13. März 2009</w:t>
      </w:r>
    </w:p>
    <w:p>
      <w:r>
        <w:t>Bundesgericht, 2009-03-13, DE</w:t>
      </w:r>
    </w:p>
    <w:p>
      <w:r>
        <w:rPr>
          <w:b/>
        </w:rPr>
        <w:t xml:space="preserve">Quelle: </w:t>
      </w:r>
      <w:r>
        <w:t>https://mcp.opencaselaw.ch/entscheid/bger_2C_20_2009</w:t>
      </w:r>
    </w:p>
    <w:p>
      <w:r>
        <w:t>FR: TF 2C_20/2009 du 13 mars 2009</w:t>
      </w:r>
    </w:p>
    <w:p>
      <w:r>
        <w:t>IT: TF 2C_20/2009 del 13 marzo 2009</w:t>
      </w:r>
    </w:p>
    <w:p>
      <w:pPr>
        <w:pStyle w:val="Heading2"/>
      </w:pPr>
      <w:r>
        <w:t>Erwägungen</w:t>
      </w:r>
    </w:p>
    <w:p>
      <w:r>
        <w:rPr>
          <w:b/>
        </w:rPr>
        <w:t>E. 1.1</w:t>
      </w:r>
    </w:p>
    <w:p>
      <w:r>
        <w:t>Soweit die Beschwerdeführer auf Eingaben im kantonalen Verfahren verweisen, ist darauf nicht einzutreten ( Art. 42 Abs. 1 BGG ; Urteil 4A_137/2007 vom 20. Juli 2007 E. 4; vgl. BGE 131 III 384 E. 2.3).</w:t>
      </w:r>
    </w:p>
    <w:p>
      <w:r>
        <w:rPr>
          <w:b/>
        </w:rPr>
        <w:t>E. 1.2</w:t>
      </w:r>
    </w:p>
    <w:p>
      <w:r>
        <w:t>Die Vorinstanz hat erkannt, Streitgegenstand bilde nicht der zivilrechtliche Wohnsitz, sondern der melderechtliche und damit die öffentlich-rechtliche Niederlassung bzw. das polizeiliche Domizil der Beschwerdeführer. Anwendbar sei daher das kantonale Gesetz vom 1. Dezember 1948 über die Niederlassung und den Aufenthalt sowie über die Zwangsmassnahmen im Ausländerrecht (NG/LU) bzw. das Bundesgesetz vom 23. Juni 2006 über die Harmonisierung der Einwohnerregister und anderer amtlicher Personenregister (Registerharmonisierungsgesetz, RHG; SR 431.02).</w:t>
      </w:r>
    </w:p>
    <w:p>
      <w:r>
        <w:rPr>
          <w:b/>
        </w:rPr>
        <w:t>E. 1.3</w:t>
      </w:r>
    </w:p>
    <w:p>
      <w:r>
        <w:t>Wer in einer Gemeinde des Kantons Luzern Wohnsitz nimmt oder dort länger als zwei Monate verweilen will, hat zur Begründung der Niederlassung binnen zehn Tagen Ausweisschriften abzugeben (§§ 3 und 4 NG/LU); dasselbe gilt für Aufenthalter (§ 5 NG/LU). Die Gemeinden sind verantwortlich, dass diese Bestimmungen eingehalten werden (§ 13 und 16 NG/LU), und haben die Ausweisschriften bei den Säumigen einzufordern; diese können nach erfolgloser Verwarnung und Bestrafung aus der Gemeinde weggewiesen werden (Art. 18 NG/LU).</w:t>
      </w:r>
    </w:p>
    <w:p>
      <w:r>
        <w:t>In analoger Anwendung von Art. 3 lit. b und c RHG erachtet die Vorinstanz im Einklang mit der Gemeinde G.________ jene Gemeinde als Niederlassungsgemeinde, in der sich eine Person in der Absicht dauernden Verbleibens aufhält, um dort den Mittelpunkt ihres Lebens zu begründen, welcher für Dritte erkennbar sein muss; als Aufenthaltsgemeinde bezeichnet sie jene, in der sich eine Person zu einem bestimmten Zweck ohne Absicht dauernden Verbleibens mindestens während dreier Monate innerhalb eines Jahres aufhält. Für die polizeiliche Niederlassung seien somit Beziehungen von ausreichender Dauer und Intensität zum Ort der beabsichtigten Niederlassung unerlässlich. Auch die Niederlassungsfreiheit ( Art. 24 Abs. 1 BV ) berechtige nicht, einen beliebigen Ort als Niederlassung zu bezeichnen, ohne dass die tatsächlichen Voraussetzungen dafür gegeben seien.</w:t>
      </w:r>
    </w:p>
    <w:p>
      <w:r>
        <w:t>Mit diesen rechtlichen Ausführungen setzen sich die Beschwerdeführer nicht näher auseinander; es kann deshalb auf diese bundesrechtlich nicht zu beanstandende Darstellung im angefochtenen Entscheid verwiesen werden.</w:t>
      </w:r>
    </w:p>
    <w:p>
      <w:r>
        <w:rPr>
          <w:b/>
        </w:rPr>
        <w:t>E. 1.4</w:t>
      </w:r>
    </w:p>
    <w:p>
      <w:r>
        <w:t>Die Vorinstanz hat festgestellt, dass sich die Beschwerdeführer in der Gemeinde G.________ angemeldet hätten, ohne dort je Mieter oder Untermieter von bewohnbaren Räumen gewesen zu sein. Auch auf Nachfrage hätten sie nie über ihre tatsächlichen Wohnverhältnisse Auskunft gegeben. Eine Wohngelegenheit an der ________ (Nächtigungsmöglichkeit bei ehemaligen Nachbarn) habe nie belegt werden können; es könne ausgeschlossen werden, dass die Beschwerdeführer während dreier Monate Gastrecht im Haushalt der ehemaligen Nachbarn beansprucht hätten. Die höchstens sporadischen Anwesenheiten vermöchten daher mangels der erforderlichen Intensität weder eine Niederlassung noch einen Aufenthalt zu begründen.</w:t>
      </w:r>
    </w:p>
    <w:p>
      <w:r>
        <w:t>Die Beschwerdeführer legen nicht dar, dass und inwiefern diese tatsächlichen Feststellungen offensichtlich unrichtig wären oder auf einer Rechtsverletzung beruhten ( Art. 97 Abs. 1 und 105 BGG ); es ist daher auf sie abzustellen.</w:t>
      </w:r>
    </w:p>
    <w:p>
      <w:r>
        <w:rPr>
          <w:b/>
        </w:rPr>
        <w:t>E. 1.5</w:t>
      </w:r>
    </w:p>
    <w:p>
      <w:r>
        <w:t>Unter diesen Umständen hat die Gemeinde nach Auffassung der Vorinstanz im Sinne einer Ersatzvornahme die ebenfalls zu den Meldepflichten zählende Abmeldung der Beschwerdeführer vornehmen dürfen. Die Massnahme erweise sich auch als verhältnismässig, da sie nicht rückwirkend verfügt und weder eine Busse noch eine Wegweisung ausgesprochen worden seien.</w:t>
      </w:r>
    </w:p>
    <w:p>
      <w:r>
        <w:t>Was die Beschwerdeführer dagegen vorbringen, erschöpft sich in einer verkürzten Darstellung der eigenen Sicht der Dinge. Sie setzen sich indessen in keiner den Begründungsanforderungen von Art. 42 Abs. 2 BGG genügenden Weise mit dem angefochtenen Entscheid auseinander.</w:t>
      </w:r>
    </w:p>
    <w:p>
      <w:r>
        <w:rPr>
          <w:b/>
        </w:rPr>
        <w:t>E. 2</w:t>
      </w:r>
    </w:p>
    <w:p>
      <w:r>
        <w:t>Die Beschwerde ist aus diesen Gründen abzuweisen, soweit überhaupt darauf einzutreten ist.</w:t>
      </w:r>
    </w:p>
    <w:p>
      <w:r>
        <w:t>Da sich die gestellten Rechtsbegehren als von vornherein aussichtslos erwiesen haben, kann den Beschwerdeführern die unentgeltliche Rechtspflege nicht gewährt werden ( Art. 64 Abs. 1 BGG ). Entsprechend dem Ausgang haben sie die Kosten des Verfahrens vor Bundesgericht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