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2C_209/2015 vom 13. August 2015</w:t>
      </w:r>
    </w:p>
    <w:p>
      <w:r>
        <w:t>Bundesgericht, 2015-08-13, FR</w:t>
      </w:r>
    </w:p>
    <w:p>
      <w:r>
        <w:rPr>
          <w:b/>
        </w:rPr>
        <w:t xml:space="preserve">Quelle: </w:t>
      </w:r>
      <w:r>
        <w:t>https://mcp.opencaselaw.ch/entscheid/bger_2C_209_2015</w:t>
      </w:r>
    </w:p>
    <w:p>
      <w:r>
        <w:t>FR: TF 2C_209/2015 du 13 août 2015</w:t>
      </w:r>
    </w:p>
    <w:p>
      <w:r>
        <w:t>IT: TF 2C_209/2015 del 13 agosto 2015</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se prévaut des art. 50 LEtr et 8 CEDH. Ces griefs étant articulés de manière soutenable, le recours échappe au motif d'irrecevabilité de l' art. 83 let . c ch. 2 LTF.</w:t>
      </w:r>
    </w:p>
    <w:p>
      <w:r>
        <w:rPr>
          <w:b/>
        </w:rPr>
        <w:t>E. 1.2</w:t>
      </w:r>
    </w:p>
    <w:p>
      <w:r>
        <w:t>Pour le surplus, 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1.3</w:t>
      </w:r>
    </w:p>
    <w:p>
      <w:r>
        <w:t>En revanche, la conclusion subsidiaire du recourant tendant à ce qu'il soit admis provisoirement à rester en Suisse est irrecevable en application de l' art. 83 let . c ch. 3 LTF. Il en va de même de la conclusion tendant à ce que le Tribunal fédéral renonce à l'exécution du renvoi au sens de l'art. 83 al. 4 LEtr (cf. art. 83 let . c ch. 4</w:t>
      </w:r>
    </w:p>
    <w:p>
      <w:r>
        <w:t>in fine LTF). Les problèmes qui sont liés strictement à l'exécution du renvoi et supposent l'existence d'une décision en la matière entrée en force sortent du cadre de la présente procédure, qui porte sur un refus de prolonger une autorisation de séjour (Peter Bolzli, in Marc Spescha et al., Migrationsrecht, 3e éd. 2012, n° 4 ad art. 83 LEtr; arrêt 2C_127/2015 du 2 avril 2015 consid. 4). De tels problèmes doivent être soulevés dans la phase d'exécution du renvoi.</w:t>
      </w:r>
    </w:p>
    <w:p>
      <w:r>
        <w:rPr>
          <w:b/>
        </w:rPr>
        <w:t>E. 2</w:t>
      </w:r>
    </w:p>
    <w:p>
      <w:r>
        <w:t>Le recourant conteste la manière dont les faits ont été constatés par le Tribunal cantonal.</w:t>
      </w:r>
    </w:p>
    <w:p>
      <w:r>
        <w:rPr>
          <w:b/>
        </w:rPr>
        <w:t>E. 2.1</w:t>
      </w:r>
    </w:p>
    <w:p>
      <w:r>
        <w:t>Selon l' art. 97 al. 1 LTF , le recours peut critiquer les constatations de fait à la double condition que ceux-ci ont été établis de manière manifestement inexacte - notion qui correspond à celle d'arbitraire (cf. ATF 138 I 49 consid. 7.1 p. 51) - ou en violation du droit au sens de l' art. 95 LTF et que la correction du vice soit susceptible d'influer sur le sort de la cause, ce que la partie recourante doit rendre vraisemblable par une argumentation répondant aux exigences des art. 42 al. 2 et 106 al. 2 LTF (cf. ATF 140 III 264 consid. 2.3 p. 266; arrêt 2C_211/2014 du 4 décembre 2014 consid. 2).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2C_662/2014 du 25 avril 2015 consid. 3.1).</w:t>
      </w:r>
    </w:p>
    <w:p>
      <w:r>
        <w:rPr>
          <w:b/>
        </w:rPr>
        <w:t>E. 2.2</w:t>
      </w:r>
    </w:p>
    <w:p>
      <w:r>
        <w:t>Le recourant critique de manière générale les faits retenus dans l'arrêt attaqué sans exposer concrètement en quoi ceux-ci auraient été établis de manière arbitraire ou manifestement inexacte. Une telle argumentation est appellatoire et ne répond aux exigences de l' art. 106 al. 2 LTF . En réalité, le recourant s'en prend à l'appréciation juridique des faits effectuée par l'autorité précédente, question sur laquelle il sera revenu ci-dessous. Le Tribunal de céans se limitera donc à examiner si le droit fédéral a été correctement appliqué par le Tribunal cantonal sur la base des faits ressortant de l'arrêt entrepris.</w:t>
      </w:r>
    </w:p>
    <w:p>
      <w:r>
        <w:rPr>
          <w:b/>
        </w:rPr>
        <w:t>E. 3</w:t>
      </w:r>
    </w:p>
    <w:p>
      <w:r>
        <w:t>Le recourant se prévaut des art. 50 LEtr et 8 CEDH.</w:t>
      </w:r>
    </w:p>
    <w:p>
      <w:r>
        <w:rPr>
          <w:b/>
        </w:rPr>
        <w:t>E. 3.1</w:t>
      </w:r>
    </w:p>
    <w:p>
      <w:r>
        <w:t>Selon l'art. 50 al. 1 let. b LEtr, après dissolution de la famille, le conjoint étranger peut obtenir la prolongation de son autorisation de séjour si la poursuite de son séjour en Suisse s'impose pour des raisons personnelles majeures. L'alinéa 2 précise que les " raisons personnelles majeures " sont notamment données lorsque la réintégration dans le pays de provenance semble fortement compromise (voir aussi l' art. 77 al. 2 OASA , qui reprend la teneur de l'art. 50 al. 2 LEtr).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2C_873/2013 du 25 mars 2014 consid. 4.1, non publié in ATF 140 II 289 et références).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 395). Le Tribunal fédéral a mis en lumière un certain nombre de situations dans lesquelles la poursuite du séjour en Suisse peut s'imposer, qui ne sont toutefois pas exhaustives (cf. ATF 138 II 393 consid. 3.1 p. 395; 136 II 1 consid. 5.2 p. 3 s.). Les critères énumérés par l' art. 31 al. 1 OASA peuvent également entrer en ligne de compte, même si, considérés individuellement, ils ne suffisent pas à fonder un cas de rigueur ( ATF 137 II 345 consid. 3.2.3 p. 349; arrêts 2C_41/2015 du 17 février 2015 consid. 4.1; 2C_500/2014 du 18 juillet 2014 consid. 7.1 et la référence citée).</w:t>
      </w:r>
    </w:p>
    <w:p>
      <w:r>
        <w:t>Selon la jurisprudence,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 ATF 139 II 393 consid. 6 p. 403; 128 II 200 consid. 5.3 p. 209; arrêts 2C_815/2013 du 26 mai 2014 consid. 5.1; 2C_268/2013 du 21 juin 2013 consid. 3.4).</w:t>
      </w:r>
    </w:p>
    <w:p>
      <w:r>
        <w:rPr>
          <w:b/>
        </w:rPr>
        <w:t>E. 3.2</w:t>
      </w:r>
    </w:p>
    <w:p>
      <w:r>
        <w:t>En l'occurrence, l'arrêt attaqué retient que le recourant a été atteint d'un polytraumatisme à la suite d'un accident de voiture survenu en 2009. Il a dû subir de nombreuses interventions chirurgicales et souffre actuellement de troubles psychiques. L'intéressé présente également un rétrécissement de la trachée consécutif à une trachéotomie. Le Tribunal cantonal a cependant constaté que le rétrécissement résiduel était stable et que la respiration était bonne. Au vu de ces éléments, l'instance précédente a considéré que l'état de santé du recourant n'était pas tel qu'il nécessitait des soins permanents. Les structures médicales en Bosnie et Herzégovine étaient, par ailleurs, suffisantes pour des consultations ponctuelles. Sur le plan psychique, le Tribunal cantonal a retenu que tant l'approvisionnement en médicaments que le traitement thérapeutique suivi par le recourant étaient disponibles dans son pays d'origine.</w:t>
      </w:r>
    </w:p>
    <w:p>
      <w:r>
        <w:t>Le recourant conteste que la Bosnie et Herzégovine dispose des infrastructures suffisantes pour assurer son suivi médical. Il présente cependant sa propre version des faits. Dans la mesure où celle-ci ne correspond pas aux faits constatés dans l'arrêt attaqué sans qu'il soit indiqué en quoi ceux-ci auraient été établis de manière arbitraire, elle n'est pas admissible (cf.</w:t>
      </w:r>
    </w:p>
    <w:p>
      <w:r>
        <w:t>supra consid. 2). Dans ces conditions, il n'y a pas lieu de s'écarter de la solution retenue par l'autorité cantonale, laquelle repose sur une analyse complète et approfondie de la situation médicale générale en Bosnie et Herzégovine. Ainsi, sur la base des éléments retenus dans l'arrêt attaqué, les premiers juges ont considéré avec raison que la nature des affections médicales dont souffre le recourant ne justifie pas l'octroi d'une autorisation de séjour, étant rappelé que le seul fait d'obtenir en Suisse des prestations médicales supérieures à celles offertes dans le pays d'origine n'est pas déterminant.</w:t>
      </w:r>
    </w:p>
    <w:p>
      <w:r>
        <w:t>Pour le reste, le Tribunal cantonal a retenu que la réintégration de l'intéressé en Bosnie et Herzégovine, pays dans lequel il avait vécu jusqu'à l'âge de 24 ans et où réside encore une partie de sa famille, n'était pas fortement compromise. Il peut être renvoyé, sur ce point, aux considérants de l'arrêt de l'instance précédente, qui a dûment appliqué le droit fédéral.</w:t>
      </w:r>
    </w:p>
    <w:p>
      <w:r>
        <w:rPr>
          <w:b/>
        </w:rPr>
        <w:t>E. 3.3</w:t>
      </w:r>
    </w:p>
    <w:p>
      <w:r>
        <w:t>Reste à déterminer si le recourant peut se prévaloir de sa relation avec sa fille pour obtenir une prolongation de son autorisation de séjour.</w:t>
      </w:r>
    </w:p>
    <w:p>
      <w:r>
        <w:rPr>
          <w:b/>
        </w:rPr>
        <w:t>E. 3.3.1</w:t>
      </w:r>
    </w:p>
    <w:p>
      <w:r>
        <w:t>La jurisprudence admet que des raisons personnelles majeures au sens de l'art. 50 al. 1 let. b LEtr peuvent découler aussi d'une relation digne de protection avec un enfant qui a le droit de séjourner en Suisse (cf. ATF 139 I 315 consid. 2.1 p. 319; arrêts 2C_318/2013 du 5 septembre 2013 consid. 3.3; 2C_327/2010 du 19 mai 2011 consid. 2.2</w:t>
      </w:r>
    </w:p>
    <w:p>
      <w:r>
        <w:t>in fine , non publié in ATF 137 I 247 ). Dans ce contexte, il convient également de tenir compte du droit au respect de la vie privée et familiale garanti par l' art. 8 CEDH , que le recourant invoque du reste expressément.</w:t>
      </w:r>
    </w:p>
    <w:p>
      <w:r>
        <w:t>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ATF 140 I 145 consid. 3.2 p. 147 et les références citées).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ATF 139 I 315 consid. 2.5 p. 321 s. ; cf. aussi ATF 140 I 145 consid. 3.2 p. 148; arrêt 2C_318/2013 du 5 septembre 2013 consid. 3.3.2).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 art. 8 CEDH mais également la disposition plus favorable prévue à l'art. 50 al. 1 let. b LEtr (arrêt 2C_318/2013 du 5 septembre 2013 consid. 3.3.2). Les autres conditions d'une prolongation de doivent en outre être remplies. Le parent étranger doit ainsi en particulier entretenir une relation économique particulièrement forte avec son enfant et avoir fait preuve en Suisse d'un comportement irréprochable ( ATF 139 I 315 consid. 2.5 p. 321; arrêt 2C_318/2013 du 5 septembre 2013 consid. 3.3.2).</w:t>
      </w:r>
    </w:p>
    <w:p>
      <w:r>
        <w:rPr>
          <w:b/>
        </w:rPr>
        <w:t>E. 3.3.2</w:t>
      </w:r>
    </w:p>
    <w:p>
      <w:r>
        <w:t>En l'occurrence, le recourant ne peut pas se prévaloir d'un comportement irréprochable. En effet, il a été condamné en novembre 2008 à 20 jours-amende à 20 fr. le jour amende pour avoir conduit un véhicule avec un taux d'alcoolémie qualifié. De plus, sur le plan financier, l'intéressé a fait l'objet de poursuites pour un peu de moins de 10'000 fr. et a bénéficié de l'aide sociale pour un montant total de 245'618 fr. 05. Le recourant se trouve ainsi dans une situation financière obérée et il n'est pas exclu qu'elle empire encore. C'est en vain que le recourant reproche à l'instance précédente d'avoir procédé à une interprétation trop stricte du critère du comportement irréprochable. Contrairement à ce qu'il semble soutenir, du moment qu'il n'a ni l'autorité parentale ni la garde de sa fille, l'intéressé ne se trouve pas dans une des situations pour lesquelles la jurisprudence en matière de comportement irréprochable a été assouplie ( ATF 140 I 145 consid. 4.3 p. 150 s.; 136 I 285 consid. 5.2 p. 287; 135 I 153 consid. 2.2.3 p. 157 s).</w:t>
      </w:r>
    </w:p>
    <w:p>
      <w:r>
        <w:t>Pour le surplus, s'il est établi que le recourant a su tisser à la longue des liens plus étroits avec sa fille sur le plan affectif, l'existence d'une relation économique fait défaut en l'espèce. Le Tribunal cantonal a retenu qu'aucun élément du dossier ne permettait de retenir que l'intéressé contribuait d'une quelconque manière à l'entretien de sa fille. Il est vrai que, compte tenu de l'accident de voiture du recourant survenu en 2009, le jugement de divorce a dispensé ce dernier à verser une contribution d'entretien à sa famille. Comme l'ont relevé les juges cantonaux, le recourant ne saurait cependant se prévaloir de son accident pour palier l'absence de lien économique avec sa fille. Il ressort en effet du procès-verbal d'audience en mesures protectrices, tenue le 15 juin 2007, que l'intéressé a été astreint à verser une pension alimentaire en faveur de sa fille depuis le 1er août 2007. L'arrêt attaqué retient cependant que l'intéressé n'a jamais contribué financièrement à l'entretien de sa fille, alors qu'il lui incombait de le faire en tout cas jusqu'à son accident survenu le 1er août 2009. Le recourant, qui n'a d'ailleurs jamais produit les preuves du paiement de la pension alimentaire requises par le Service des migrations, ne conteste pas ce point. Il reproche uniquement au Tribunal cantonal d'avoir pris " en compte séparément certains éléments, sans tenir compte de l'état de fait dans sa globalité " (cf. mémoire de recours, p. 10). Le recourant s'est ensuite principalement attaché à démontrer l'existence d'une relation affective particulièrement étroite avec sa fille. Ce faisant, il perd cependant de vue que les conditions posées par la jurisprudence pour pouvoir invoquer l' art. 8 CEDH sont cumulatives (cf. arrêts 2C_728/2014 du 3 juin 2015 consid. 4.3.1; 2C_794/2014 du 23 janvier 2015 consid. 3.3; 2C_586/2013 du 3 décembre 2013 consid. 3.2.6; 2C_382/2012 du 7 décembre 2012 consid. 2.3). Or, du moment que l'intéressé ne peut pas se prévaloir d'un comportement irréprochable et que les liens qui l'unissent à sa fille ne sauraient être qualifiés de particulièrement forts sur le plan économique, il n'est pas déterminant qu'ils le soient d'un point de vue affectif, même si ce point n'est pas contesté en l'espèce.</w:t>
      </w:r>
    </w:p>
    <w:p>
      <w:r>
        <w:rPr>
          <w:b/>
        </w:rPr>
        <w:t>E. 3.4</w:t>
      </w:r>
    </w:p>
    <w:p>
      <w:r>
        <w:t>Dans ces conditions, il faut admettre que l'instance précédente n'a pas violé les art. 50 LEtr et 8 CEDH en confirmant le refus de renouveler l'autorisation de séjour du recourant.</w:t>
      </w:r>
    </w:p>
    <w:p>
      <w:r>
        <w:rPr>
          <w:b/>
        </w:rPr>
        <w:t>E. 4</w:t>
      </w:r>
    </w:p>
    <w:p>
      <w:r>
        <w:t>Enfin, hormis les liens du recourant avec sa fille, dont on a vu qu'ils ne justifient pas à eux seuls son séjour en Suisse, l'arrêt attaqué ne révèle aucun élément déterminant qui ferait apparaître le refus de prolonger l'autorisation de séjour du recourant comme disproportionné (cf. art. 96 LEtr). En tenant compte de l'âge du recourant lorsqu'il a quitté son pays d'origine, du fait que son intégration professionnelle et socioculturelle en Suisse n'était pas particulièrement marquée, qu'il émarge à l'aide sociale depuis plus de dix ans et fait l'objet de poursuites, des conséquences pour lui et sa fille d'un refus de demeurer en Suisse et des possibilités de suivi médical et de réintégration à l'étranger où vit une partie de sa famille, il faut constater que le refus de prolonger l'autorisation de séjour de l'intéressé n'est pas une mesure disproportionnée.</w:t>
      </w:r>
    </w:p>
    <w:p>
      <w:r>
        <w:rPr>
          <w:b/>
        </w:rPr>
        <w:t>E. 5</w:t>
      </w:r>
    </w:p>
    <w:p>
      <w:r>
        <w:t>Le recourant invoque l'arrêt de la Cour européenne des droits de l'homme (ci-après: CourEDH)</w:t>
      </w:r>
    </w:p>
    <w:p>
      <w:r>
        <w:t>Hasanbasic c. Suisse du 11 juin 2013 (52166/09). Cette jurisprudence ne lui est toutefois d'aucun secours, car les situations ne sont pas comparables. Dans l'affaire précitée, l'intéressé entretenait une relation étroite et effective avec son épouse, titulaire d'une autorisation d'établissement, de sorte que l' art. 8 CEDH trouvait application. La CourEDH avait, par ailleurs, relevé que l'état de santé du requérant s'était sérieusement affaibli et nécessitait un suivi constant. Elle avait également attaché une importance particulière à la durée considérable du séjour des requérants en Suisse (qui s'élevait à 23 et 40 ans), ainsi qu'à leur intégration sociale incontestée.</w:t>
      </w:r>
    </w:p>
    <w:p>
      <w:r>
        <w:rPr>
          <w:b/>
        </w:rPr>
        <w:t>E. 6</w:t>
      </w:r>
    </w:p>
    <w:p>
      <w:r>
        <w:t>Les considérants qui précèdent conduisent au rejet du recours, dans la mesure où il est recevable. Le recours étant manifestement dépourvu de chances de succès, la demande d'assistance judiciaire est rejetée ( art. 64 al. 1 LTF ). Le recourant doit supporter les frais judiciaires,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