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2C_208/2019 vom 27. Februar 2019</w:t>
      </w:r>
    </w:p>
    <w:p>
      <w:r>
        <w:t>Bundesgericht, 2019-02-27, FR</w:t>
      </w:r>
    </w:p>
    <w:p>
      <w:r>
        <w:rPr>
          <w:b/>
        </w:rPr>
        <w:t xml:space="preserve">Quelle: </w:t>
      </w:r>
      <w:r>
        <w:t>https://mcp.opencaselaw.ch/entscheid/bger_2C_208_2019</w:t>
      </w:r>
    </w:p>
    <w:p>
      <w:r>
        <w:t>FR: TF 2C_208/2019 du 27 février 2019</w:t>
      </w:r>
    </w:p>
    <w:p>
      <w:r>
        <w:t>IT: TF 2C_208/2019 del 27 febbraio 2019</w:t>
      </w:r>
    </w:p>
    <w:p>
      <w:pPr>
        <w:pStyle w:val="Heading2"/>
      </w:pPr>
      <w:r>
        <w:t>Erwägungen</w:t>
      </w:r>
    </w:p>
    <w:p>
      <w:r>
        <w:rPr>
          <w:b/>
        </w:rPr>
        <w:t>E. 1</w:t>
      </w:r>
    </w:p>
    <w:p>
      <w:r>
        <w:t>Par arrêt du 30 janvier 2019, le Tribunal cantonal du canton de Fribourg a rejeté le recours que X.________ avait déposé contre la facture du 18 avril 2018 relative au paiement de la taxe forfaitaire pour résidence secondaire de 442 fr. 50 pour l'année 2018 sur la commune de Charmey malgré le fait que le contribuable était domicilié sur le territoire d'une commune proche de celle de Charmey, en application de la loi fribourgeoise du 13 octobre 2005 sur le tourisme (LT/FR; RSFR 951.1), notamment de son art. 29 let. a.</w:t>
      </w:r>
    </w:p>
    <w:p>
      <w:r>
        <w:rPr>
          <w:b/>
        </w:rPr>
        <w:t>E. 2</w:t>
      </w:r>
    </w:p>
    <w:p>
      <w:r>
        <w:t>Par courrier du 26 février 2019, X.________ a déposé un recours auprès du Tribunal fédéral. Il demande, au moins implicitement, de réformer l'arrêt rendu le 30 janvier 2019 par le Tribunal cantonal du canton de Fribourg en ce sens qu'il ne doit pas payer de taxe forfaitaire pour résidence secondaire.</w:t>
      </w:r>
    </w:p>
    <w:p>
      <w:r>
        <w:rPr>
          <w:b/>
        </w:rPr>
        <w:t>E. 3</w:t>
      </w:r>
    </w:p>
    <w:p>
      <w:r>
        <w:t>Sauf exceptions (cf. art. 95 let . c, d et e LTF), la violation du droit cantonal ne constitue pas un motif de recours au Tribunal fédéral ( art. 95 LTF a contrario; arrêt 2C_116/2011 du 29 août 2011 consid. 3.1, in SJ 2011 I p. 405, JdT 2011 I 383). Il est néanmoins possible de faire valoir que l'application des dispositions du droit cantonal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w:t>
      </w:r>
    </w:p>
    <w:p>
      <w:r>
        <w:t>Le recourant ne se plaint de la violation d'aucun droit constitutionnel dans l'application par l'instance précédente du droit cantonal en matière de taxes de séjour.</w:t>
      </w:r>
    </w:p>
    <w:p>
      <w:r>
        <w:rPr>
          <w:b/>
        </w:rPr>
        <w:t>E. 4</w:t>
      </w:r>
    </w:p>
    <w:p>
      <w:r>
        <w:t>Le présent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