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2C_201/2024 vom 28. Mai 2025</w:t>
      </w:r>
    </w:p>
    <w:p>
      <w:r>
        <w:t>Bundesgericht, 2025-05-28, DE</w:t>
      </w:r>
    </w:p>
    <w:p>
      <w:r>
        <w:rPr>
          <w:b/>
        </w:rPr>
        <w:t xml:space="preserve">Quelle: </w:t>
      </w:r>
      <w:r>
        <w:t>https://mcp.opencaselaw.ch/entscheid/bger_2C_201_2024</w:t>
      </w:r>
    </w:p>
    <w:p>
      <w:r>
        <w:t>FR: TF 2C_201/2024 du 28 mai 2025</w:t>
      </w:r>
    </w:p>
    <w:p>
      <w:r>
        <w:t>IT: TF 2C_201/2024 del 28 maggio 2025</w:t>
      </w:r>
    </w:p>
    <w:p>
      <w:pPr>
        <w:pStyle w:val="Heading2"/>
      </w:pPr>
      <w:r>
        <w:t>Erwägungen</w:t>
      </w:r>
    </w:p>
    <w:p>
      <w:r>
        <w:rPr>
          <w:b/>
        </w:rPr>
        <w:t>E. 1</w:t>
      </w:r>
    </w:p>
    <w:p>
      <w:r>
        <w:t>Die frist- ( Art. 100 Abs. 1 BGG ) und formgerecht ( Art. 42 BGG ) eingereichte Beschwerde betrifft eine Angelegenheit des öffentlichen Rechts ( Art. 82 lit. a BGG ) und richtet sich gegen ein kantonal letztinstanzliches ( Art. 86 Abs. 1 lit. d BGG ) sowie verfahrensabschliessendes ( Art. 90 BGG ) Urteil eines oberen Gerichts ( Art. 86 Abs. 2 BGG ). Das Rechtsmittel ist als Beschwerde in öffentlich-rechtlichen Angelegenheiten zulässig, zumal der Beschwerdeführer in vertretbarer Weise geltend macht, er sei während der Ehe mit einer Schweizerin Opfer häuslicher Gewalt geworden, weshalb ihm gestützt auf Art. 50 Abs. 1 lit. b i.V.m. Abs. 2 AIG (SR 142.20; nachehelicher Härtefall; zum intertemporal anwendbaren Recht vgl. E. 3.1 hiernach) ein Anspruch auf Verbleib in der Schweiz zukomme ( Art. 83 lit. c Ziff. 2 BGG</w:t>
      </w:r>
    </w:p>
    <w:p>
      <w:r>
        <w:t>e contrario ; vgl. Urteile 2C_615/2024 vom 14. April 2025 E. 1.1; 2C_564/2024 vom 3. April 2025 E. 1.1; 2C_381/2024 vom 27. März 2025 E. 1.2); ob dieser Anspruch tatsächlich besteht, ist nicht Gegenstand der Eintretensprüfung, sondern der materiellen Beurteilung (vgl. BGE 147 I 268 E. 1.2.7 ; 139 I 330 E. 1.1; 136 II 177 E. 1.1). Sodann ist der Beschwerdeführer zur Erhebung des vorliegenden Rechtsmittels berechtigt ( Art. 89 Abs. 1 BGG ). Auf die Beschwerde ist folglich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3</w:t>
      </w:r>
    </w:p>
    <w:p>
      <w:r>
        <w:t>Streitgegenstand bildet die Frage, ob dem Beschwerdeführer nach Auflösung der Ehe mit einer Schweizerin ein Aufenthaltsanspruch nach Art. 50 Abs. 1 AIG zukommt. Unbestritten ist, dass die Ehegemeinschaft weniger als drei Jahre gedauert hat, weshalb eine Verlängerung der Aufenthaltsbewilligung gestützt auf Art. 50 Abs. 1 lit. a AIG ausscheidet. Der Beschwerdeführer beruft sich aber auf einen nachehelichen Härtefall im Sinne von Art. 50 Abs. 1 lit. b i.V.m. Abs. 2 AIG und macht geltend, Opfer häuslicher Gewalt geworden zu sein.</w:t>
      </w:r>
    </w:p>
    <w:p>
      <w:r>
        <w:rPr>
          <w:b/>
        </w:rPr>
        <w:t>E. 3.1</w:t>
      </w:r>
    </w:p>
    <w:p>
      <w:r>
        <w:t>Per 1. Januar 2025 ist eine revidierte Fassung von Art. 50 AIG in Kraft getreten, welche grundsätzlich auch die Regelung des Aufenthalts nach häuslicher Gewalt betrifft (Änderung vom 14. Juni 2024; vgl. AS 2024 713 ff.). Gemäss der diesbezüglichen Übergangsbestimmung von Art. 126g AIG ist auf Gesuche nach Art. 50 AIG , die vor Inkrafttreten dieser Änderung vom 14. Juni 2024 eingereicht wurden, das neue Recht anwendbar. Rechtsprechungsgemäss unterstehen allerdings Verfahren, die - wie hier - bei Inkrafttreten dieser Neuregelung bereits vor Bundesgericht hängig waren, Art. 50 AIG in der bis am 31. Dezember 2024 gültig gewesenen Fassung (vgl. Urteile 2C_545/2024 vom 15. April 2025 E. 3; 2C_615/2024 vom 14. April 2025 E. 3.2; 2C_406/2024 vom 19. März 2025 E. 3.2 [insbesondere E. 3.2.4], zur Publikation vorgesehen).</w:t>
      </w:r>
    </w:p>
    <w:p>
      <w:r>
        <w:rPr>
          <w:b/>
        </w:rPr>
        <w:t>E. 3.2</w:t>
      </w:r>
    </w:p>
    <w:p>
      <w:r>
        <w:t>Nach der Rechtsprechung ist im Rahmen von Art. 50 Abs. 1 lit. b i.V.m. Abs. 2 AIG jede Form ehelicher bzw. häuslicher Gewalt, sei sie körperlicher oder psychischer Natur, relevant. Häusliche Gewalt bedeutet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Urteile 2C_545/2024 vom 15. April 2025 E. 4.1; 2C_615/2024 vom 14. April 2025 E. 3.3). Auch psychische bzw. sozioökonomische Druckausübung wie dauerndes Beschimpfen, Erniedrigen oder Drohen kann einen für die Annahme eines nachehelichen Härtefalles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2C_545/2024 vom 15. April 2025 E. 4.1; 2C_615/2024 vom 14. April 2025 E. 3.3).</w:t>
      </w:r>
    </w:p>
    <w:p>
      <w:r>
        <w:rPr>
          <w:b/>
        </w:rPr>
        <w:t>E. 3.3</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glaubwürdige Zeugenaussagen von weiteren Angehörigen oder Nachbarn; vgl. zu den Beweisanforderungen BGE 142 I 152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mit Hinweisen; Urteile 2C_545/2024 vom 15. April 2025 E. 4.2; 2C_615/2024 vom 14. April 2025 E. 3.4).</w:t>
      </w:r>
    </w:p>
    <w:p>
      <w:r>
        <w:rPr>
          <w:b/>
        </w:rPr>
        <w:t>E. 4</w:t>
      </w:r>
    </w:p>
    <w:p>
      <w:r>
        <w:t>Vor diesem Hintergrund ist auf die Rügen des Beschwerdeführers einzugehen, wonach die Beweiswürdigung der Vorinstanz willkürlich sei und Art. 50 Abs. 1 lit. b i.V.m. Abs. 2 AIG verletzt werde.</w:t>
      </w:r>
    </w:p>
    <w:p>
      <w:r>
        <w:rPr>
          <w:b/>
        </w:rPr>
        <w:t>E. 4.1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4.2</w:t>
      </w:r>
    </w:p>
    <w:p>
      <w:r>
        <w:t>Die Vorinstanz kam in Würdigung des ärztlichen Berichts vom 26. Februar 2021, des Berichts der narrativen Expositionstherapie vom 26. Januar 2022 und der weiteren Beweismittel zum Schluss, dass es dem Beschwerdeführer nicht gelungen sei zu belegen, Opfer häuslicher Gewalt geworden zu sein. Sie erwog sinngemäss, die im Recht liegenden Berichte würden allein auf den nach der Trennung gemachten Angaben des Beschwerdeführers selbst beruhen - bewiesen seien seine darin wiedergegebenen Schilderungen des Vorgefallenen damit nicht. Mit den vom Beschwerdeführer (teilweise widersprüchlich) geschilderten Umständen der Einmischungen und Drohungen (u.a. häufige, kontrollierende Telefonanrufe durch die Schwiegereltern; Bedrohung durch den Schwiegervater mit einem Messer bzw. einer Pistole im Oktober/November 2019; Bedrohung durch die Familie der Ehefrau anlässlich des Zusammentreffens am 30. März 2021) sei kein systematisch oppressives Verhalten seiner Schwiegereltern geschweige denn ein mittäterschaftlicher Tatbeitrag seiner Ehefrau, von der die Initiative für die Trennung ausgegangen sei, dargetan.</w:t>
      </w:r>
    </w:p>
    <w:p>
      <w:r>
        <w:t>Ferner würdigte die Vorinstanz die Vorbringen des Beschwerdeführers zu den behaupteten finanziellen Ansprüchen seiner Ehefrau bzw. ihrer Familie ihm gegenüber. Es sei belegt, dass der Beschwerdeführer Zahlungen im Betrag von Fr. 7'500.-- an die Steuerverwaltung geleistet und seine Ehefrau eine grössere Rückzahlung der Steuerverwaltung erhalten habe. Allerdings fehle jeder Beleg dafür, dass er bis im Oktober 2019 alle eigenen Lohneinkünfte der Ehefrau habe abgeben müssen. Damit sei auch keine systematische finanzielle Oppression dargetan.</w:t>
      </w:r>
    </w:p>
    <w:p>
      <w:r>
        <w:rPr>
          <w:b/>
        </w:rPr>
        <w:t>E. 4.3</w:t>
      </w:r>
    </w:p>
    <w:p>
      <w:r>
        <w:t>Der Beschwerdeführer zeigt nicht substanziiert auf, dass und inwiefern die vorinstanzliche Beweiswürdigung offensichtlich unhaltbar sein soll. Vielmehr beschränkt er sich im Wesentlichen darauf, seine eigene Auffassung derjenigen der Vorinstanz gegenüberzustellen bzw. zu behaupten, dass die eheliche Gewalt hinreichend erstellt sei. Dabei stützt er sich hauptsächlich auf den seiner Meinung nach einseitig gewürdigten Therapiebericht vom 26. Januar 2022, dessen Inhalt er in der Beschwerde ausführlich zusammenfasst und einer eigenen, abweichenden Würdigung unterzieht. Zudem wiederholt er über weite Strecken die bereits im vorinstanzlichen Verfahren gemachten Ausführungen. Damit gelingt es ihm nicht darzutun, dass die Vorinstanz die im Recht liegenden Beweise im Zusammenhang mit der behaupteten ehelichen Gewalt willkürlich gewürdigt hat. Es bleibt daher bei den Feststellungen der Vorinstanz.</w:t>
      </w:r>
    </w:p>
    <w:p>
      <w:r>
        <w:rPr>
          <w:b/>
        </w:rPr>
        <w:t>E. 4.4</w:t>
      </w:r>
    </w:p>
    <w:p>
      <w:r>
        <w:t>Auf Grundlage des willkürfrei festgestellten Sachverhalts hat die Vorinstanz das Vorliegen von häuslicher Gewalt und folgerichtig auch einen Aufenthaltsanspruch gestützt auf Art. 50 Abs. 1 lit. b i.V.m. Abs. 2 AIG verneint, ohne dass sie dadurch Bundesrecht verletzt hätte. Dass andere wichtige persönliche Gründe wie namentlich die starke Gefährdung der sozialen Wiedereingliederung im Herkunftsland seinen weiteren Aufenthalt in der Schweiz erforderlich machen würden (vgl. Art. 50 Abs. 2 AIG ), bringt der Beschwerdeführer nicht (mehr) vor und ist auch nicht ersichtlich.</w:t>
      </w:r>
    </w:p>
    <w:p>
      <w:r>
        <w:rPr>
          <w:b/>
        </w:rPr>
        <w:t>E. 4.5</w:t>
      </w:r>
    </w:p>
    <w:p>
      <w:r>
        <w:t>Im Ergebnis ist weder eine willkürliche Beweiswürdigung noch eine Verletzung von Art. 50 Abs. 1 lit. b i.V.m. Abs. 2 AIG auszumachen.</w:t>
      </w:r>
    </w:p>
    <w:p>
      <w:r>
        <w:rPr>
          <w:b/>
        </w:rPr>
        <w:t>E. 5</w:t>
      </w:r>
    </w:p>
    <w:p>
      <w:r>
        <w:t>Nach dem Dargelegten erweist sich die Beschwerde in öffentlich-rechtlichen Angelegenheiten als unbegründet und ist abzuweisen.</w:t>
      </w:r>
    </w:p>
    <w:p>
      <w:r>
        <w:t>Diesem Verfahrensausgang entsprechend trägt der unterliegende Beschwerdeführer die Gerichtskosten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