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2C_19/2008 vom 18. Juni 2008</w:t>
      </w:r>
    </w:p>
    <w:p>
      <w:r>
        <w:t>Bundesgericht, 2008-06-18, DE</w:t>
      </w:r>
    </w:p>
    <w:p>
      <w:r>
        <w:rPr>
          <w:b/>
        </w:rPr>
        <w:t xml:space="preserve">Quelle: </w:t>
      </w:r>
      <w:r>
        <w:t>https://mcp.opencaselaw.ch/entscheid/bger_2C_19_2008</w:t>
      </w:r>
    </w:p>
    <w:p>
      <w:r>
        <w:t>FR: TF 2C_19/2008 du 18 juin 2008</w:t>
      </w:r>
    </w:p>
    <w:p>
      <w:r>
        <w:t>IT: TF 2C_19/2008 del 18 giugno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Gleiches muss gelten, wenn der angefochtene (erstinstanzliche) Entscheid über den Widerruf bzw. die Nichtverlängerung einer Bewilligung noch unter der Herrschaft des bisherigen Rechts ergangen ist. Die Beschwerdeführer berufen sich daher vergeblich auf das neue Ausländergesetz (vgl. auch E. 3.4): Die vorliegende Streitsache beurteilt sich allein nach dem inzwischen aufgehobenen Bundesgesetz vom 26. Mai 1931 über Aufenthalt und Niederlassung der Ausländer (ANAG) und seinen Ausführungserlassen.</w:t>
      </w:r>
    </w:p>
    <w:p>
      <w:r>
        <w:rPr>
          <w:b/>
        </w:rPr>
        <w:t>E. 1.3</w:t>
      </w:r>
    </w:p>
    <w:p>
      <w:r>
        <w:t>Da die Beschwerdeführerin formell mit einem Schweizer Bürger verheiratet ist, hat sie gestützt auf Art. 7 Abs. 1 ANAG einen grundsätzlichen Anspruch auf Erteilung und Verlängerung der Aufenthaltsbewilligung. Gegen deren Widerruf (bzw. gegen die darin implizit mitenthaltene und heute allein noch aktuelle Verweigerung einer Verlängerung der Bewilligung) ist die Beschwerde in öffentlich-rechtlichen Angelegenheiten daher zulässig. Unzulässig sind die gestellten Feststellungsanträge: Derartige Begehren setzen gemäss Art. 71 BGG in Verbindung mit Art. 25 BZP ein besonderes Feststellungsinteresse voraus (vgl. BGE 122 II 97 E. 3 S. 98). Ein solches ist hier weder geltend gemacht noch ersichtlich. Unzulässig ist die Beschwerde auch, soweit gerügt wird, das Obergericht habe zu Unrecht das Vorliegen eines Härtefalles verneint (vgl. Art. 13 lit. f der Verordnung vom 6. Oktober 1986 über die Begrenzung der Zahl der Ausländer [BVO; zur heutigen Rechtslage Art. 18 ff. und Art. 30 AuG] in Verbindung mit Art. 83 lit. c Ziff. 2 und Ziff. 5 BGG ). Insoweit kann auf das vorliegende Rechtsmittel nicht eingetreten werden.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Gemäss Art. 7 Abs. 2 ANAG hat der ausländische Ehegatte eines Schweizer Bürgers keinen Anspruch auf Erteilung der ihm nach Absatz 1 grundsätzlich zustehenden 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127 II 49 E. 4a S. 55, mit Hinweisen). Auch wenn die Ehe nicht bloss zum Schein eingegangen worden ist, heisst dies nicht zwingend, dass dem ausländischen Ehepartner der Aufenthalt bzw. die Niederlassung ungeachtet der weiteren Entwicklung gestattet werden muss. Zu prüfen ist diesfalls, ob sich die Berufung auf die Ehe nicht anderweitig als rechtsmissbräuchlich erweist ( BGE 127 II 49 E. 5a S. 56, mit Hinweisen).</w:t>
      </w:r>
    </w:p>
    <w:p>
      <w:r>
        <w:rPr>
          <w:b/>
        </w:rPr>
        <w:t>E. 2.2</w:t>
      </w:r>
    </w:p>
    <w:p>
      <w:r>
        <w:t>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anders die heutige Rechtslage, vgl. Art. 42 AuG). Erforderlich sind klare Hinweise darauf, dass die Führung einer Lebensgemeinschaft nicht mehr beabsichtigt und nicht mehr zu erwarten ist ( BGE 127 II 49 E. 5a S. 56 f. mit Hinweisen).</w:t>
      </w:r>
    </w:p>
    <w:p>
      <w:r>
        <w:rPr>
          <w:b/>
        </w:rPr>
        <w:t>E. 2.3</w:t>
      </w:r>
    </w:p>
    <w:p>
      <w:r>
        <w:t>Die Beschwerdeführerin beanstandet die Rechtsprechung des Bundesgerichts, wonach der Aufenthaltsanspruch des ausländischen Ehegatten gemäss Art. 7 ANAG nicht nur bei einer eigentlichen Scheinehe entfällt, sondern ein Rechtsmissbrauch darüber hinaus auch vorliegt, wenn unter Berufung auf eine definitv gescheiterte Ehe ein Aufenthaltsrecht geltend gemacht wird. Sie beruft sich auf den Gesetzgeber, der - gerade um den ausländischen Ehegatten vor der Willkür seines Partners zu schützen - auf das Erfordernis des Zusammenlebens verzichtet habe. Das ist richtig, weshalb in der Rechtsprechung auch festgehalten wird, dass die blosse Einleitung eines Scheidungsverfahrens oder die Aufgabe des gemeinsamen Haushaltes den Aufenthaltsanspruch des ausländischen Ehegatten für sich allein noch nicht untergehen lassen (vgl. E. 2.2). Ein Rechtsmissbrauch liegt jedoch vor, wenn ein Aufenthaltsanspruch geltend gemacht wird, obwohl mit einer Weiterführung bzw. Wiederaufnahme der ehelichen Gemeinschaft offensichtlich nicht mehr gerechnet werden kann (vgl. ebenda). Es besteht kein Anlass, von dieser zu Art. 7 und 17 ANAG entwickelten festen Rechtsprechung abzuweichen, umso weniger, als das neue Ausländergesetz den Anwesenheitsanspruch des ausländischen Ehepartners nunmehr generell vom Zusammenleben der Ehegatten abhängig macht (vgl. Art. 42 und 43 AuG) und insofern strenger ist als die bisherige Ordnung des ANAG, welche diese Voraussetzung nur für die Ehegatten von niedergelassenen Ausländern statuierte ( Art. 17 ANAG ).</w:t>
      </w:r>
    </w:p>
    <w:p>
      <w:r>
        <w:rPr>
          <w:b/>
        </w:rPr>
        <w:t>E. 3.1</w:t>
      </w:r>
    </w:p>
    <w:p>
      <w:r>
        <w:t>Das Obergericht hat im Wesentlichen erwogen, die Beschwerdeführerin habe "aus eigenem Antrieb" die gerichtliche Trennung verlangt, weil das weitere Zusammenleben mit ihrem Ehemann nach eigenen Angaben unerträglich geworden sei. Dennoch habe sie gegenüber dem Ausländeramt erklärt, sie wolle später - "nach Klärung der Situation mit ihrem Mann" - die Ehegemeinschaft wieder aufnehmen. Diese Aussagen seien widersprüchlich: Wenn die Beschwerdeführerin ihren Mann wegen angeblich unhaltbarer Zustände verlassen habe, sei nicht einzusehen, wie eine Wiederaufnahme des ehelichen Zusammenlebens noch möglich sein solle, zumal Z.________ klar festgehalten habe, für ihn komme eine Wiederaufnahme der Beziehung nicht in Frage. Die Ehe sei damit faktisch als endgültig gescheitert zu betrachten, wobei die Gründe hiefür irrelevant seien. Im Übrigen habe das Stadtrichteramt Zürich die Beschwerdeführerin am 7. Januar 2006 wegen illegaler Prostitution gebüsst, was die Aussichten auf die Wiederaufnahme der ehelichen Gemeinschaft als noch geringer erscheinen lasse. Die Erwägungen des Regierungsrates, wonach sich die Beschwerdeführerin auf rechtsmissbräuchliche Weise nur deshalb auf den (formellen) Bestand der Ehe berufe, um ihr Aufenthaltsrecht in der Schweiz nicht zu verlieren, seien daher weder stossend noch unbillig.</w:t>
      </w:r>
    </w:p>
    <w:p>
      <w:r>
        <w:rPr>
          <w:b/>
        </w:rPr>
        <w:t>E. 3.2</w:t>
      </w:r>
    </w:p>
    <w:p>
      <w:r>
        <w:t>Aufgrund dieser im angefochtenen Urteil enthaltenen und für das Bundesgericht grundsätzlich verbindlichen Feststellungen (vgl. E. 1.4) durfte das Obergericht zulässigerweise annehmen, mit einer Wiederaufnahme der ehelichen Gemeinschaft sei vorliegend nicht (mehr) zu rechnen, und alsdann die Geltendmachung eines Aufenthaltsanspruches nach Art. 7 ANAG als rechtsmissbräuchlich einstufen, ohne dass den Ursachen dieses Zustandes noch weiter nachzugehen war (vgl. BGE 130 II 113 E. 4.2 S. 117). Soweit die Beschwerdeführerin in diesem Zusammenhang die Feststellung der Vorinstanz beanstandet, sie habe sich in einem entsprechenden Etablissement in Zürich als Prostituierte betätigt, dringt sie damit nicht durch; das Obergericht konnte sich für diesen - nicht offensichtlich unrichtigen und durch die Vorbringen der Beschwerdeführerin nicht widerlegten - Schluss auf eine entsprechende, in Rechtskraft erwachsene Bussenverfügung des Stadtrichteramts Zürich vom 7. Januar 2006 stützen. Dass die Beschwerdeführerin diesen Sachverhalt bestreitet, wurde im angefochtenen Entscheid nicht übersehen.</w:t>
      </w:r>
    </w:p>
    <w:p>
      <w:r>
        <w:rPr>
          <w:b/>
        </w:rPr>
        <w:t>E. 3.3</w:t>
      </w:r>
    </w:p>
    <w:p>
      <w:r>
        <w:t>Schliesslich erscheint auch die Rüge der Verletzung des Übereinkommens über die Rechte der Kinder (Kinderrechtekonvention, KRK; SR 0.107) unbegründet: Zwar ist Art. 12 KRK , der die Anhörung des Kindes als Persönlichkeitsrecht des Kindes ausgestaltet, unmittelbar anwendbar ( BGE 124 III 90 E. 3a), doch muss die Anhörung nicht notwendigerweise in jedem Fall mündlich erfolgen, sondern es kann genügen, wenn der Standpunkt des Kindes sonstwie in tauglicher Weise, zum Beispiel durch eine Eingabe seines Vertreters, Eingang in das Verfahren gefunden hat ( BGE 124 II 361 E. 3c S. 368 mit Hinweisen). Vorliegend hatte es die Vertreterin der Beschwerdeführer in der Hand, in ihren Eingaben auch den Standpunkt und die Interessen des Sohnes Vadim darzulegen; seiner persönlichen Anhörung bedurfte es hiefür nicht.</w:t>
      </w:r>
    </w:p>
    <w:p>
      <w:r>
        <w:rPr>
          <w:b/>
        </w:rPr>
        <w:t>E. 3.4</w:t>
      </w:r>
    </w:p>
    <w:p>
      <w:r>
        <w:t>Soweit die Beschwerdeführerin gestützt auf Art. 50 des neuen Ausländergesetzes wegen erfolgreicher Integration (Art. 50 Abs. 1 lit. a AuG) oder aus wichtigen persönlichen Gründen (Art. 50 Abs. 1 lit. b AuG) trotz Auflösung der Familiengemeinschaft ein Anwesenheitsrecht geltend machen will, steht dem schon der Umstand entgegen, dass diese neue gesetzliche Regelung gemäss der Übergangsbestimmung in Art. 126 Abs. 1 AuG nicht anwendbar ist (vgl. vorne E. 1.2).</w:t>
      </w:r>
    </w:p>
    <w:p>
      <w:r>
        <w:rPr>
          <w:b/>
        </w:rPr>
        <w:t>E. 4</w:t>
      </w:r>
    </w:p>
    <w:p>
      <w:r>
        <w:t>Nach dem Gesagten ist die Beschwerde als unbegründet abzuweisen, soweit darauf eingetreten werden kann.</w:t>
      </w:r>
    </w:p>
    <w:p>
      <w:r>
        <w:t>Bei diesem Verfahrensausgang sind die Gerichtskosten den Beschwerdeführern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