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2C_198/2021 vom 25. Februar 2021</w:t>
      </w:r>
    </w:p>
    <w:p>
      <w:r>
        <w:t>Bundesgericht, 2021-02-25, FR</w:t>
      </w:r>
    </w:p>
    <w:p>
      <w:r>
        <w:rPr>
          <w:b/>
        </w:rPr>
        <w:t xml:space="preserve">Quelle: </w:t>
      </w:r>
      <w:r>
        <w:t>https://mcp.opencaselaw.ch/entscheid/bger_2C_198_2021</w:t>
      </w:r>
    </w:p>
    <w:p>
      <w:r>
        <w:t>FR: TF 2C_198/2021 du 25 février 2021</w:t>
      </w:r>
    </w:p>
    <w:p>
      <w:r>
        <w:t>IT: TF 2C_198/2021 del 25 febbraio 2021</w:t>
      </w:r>
    </w:p>
    <w:p>
      <w:pPr>
        <w:pStyle w:val="Heading2"/>
      </w:pPr>
      <w:r>
        <w:t>Erwägungen</w:t>
      </w:r>
    </w:p>
    <w:p>
      <w:r>
        <w:rPr>
          <w:b/>
        </w:rPr>
        <w:t>E. 1</w:t>
      </w:r>
    </w:p>
    <w:p>
      <w:r>
        <w:t>Par arrêt du 2 février 2021, la Chambre administrative de la Cour de justice du canton de Genève a déclaré irrecevable pour défaut de compétence le recours que A.A.________ avait déposé contre la décision du Service de l'enseignement privé du canton de Genève du 25 août 2020 qui exposait qu'il ne lui appartenait pas de réintégrer B.A.________ au sein du Collège C.________ Sàrl. La cause relevait uniquement du droit privé.</w:t>
      </w:r>
    </w:p>
    <w:p>
      <w:r>
        <w:rPr>
          <w:b/>
        </w:rPr>
        <w:t>E. 2</w:t>
      </w:r>
    </w:p>
    <w:p>
      <w:r>
        <w:t>Par courrier du 19 février 2021, A.A.________ a écrit à la Chambre administrative de la Cour de justice du canton de Genève pour en contester l'arrêt. Ce courrier a été transmis au Tribunal fédéral comme objet de sa compétence.</w:t>
      </w:r>
    </w:p>
    <w:p>
      <w:r>
        <w:rPr>
          <w:b/>
        </w:rPr>
        <w:t>E. 3</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que si ce grief a été invoqué et motivé de manière précise par le recourant ( art. 106 al. 2 LTF ).</w:t>
      </w:r>
    </w:p>
    <w:p>
      <w:r>
        <w:t>En l'espèce, la recourante n'invoque la violation d'aucun droit constitutionnel que l'instance précédente aurait violé dans l'application du droit cantonal en matière de répartition des compétences fonctionnelles s'agissant du droit privé et du droit public.</w:t>
      </w:r>
    </w:p>
    <w:p>
      <w:r>
        <w:rPr>
          <w:b/>
        </w:rPr>
        <w:t>E. 4</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