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2C_197/2016 vom 3. März 2016</w:t>
      </w:r>
    </w:p>
    <w:p>
      <w:r>
        <w:t>Bundesgericht, 2016-03-03, FR</w:t>
      </w:r>
    </w:p>
    <w:p>
      <w:r>
        <w:rPr>
          <w:b/>
        </w:rPr>
        <w:t xml:space="preserve">Quelle: </w:t>
      </w:r>
      <w:r>
        <w:t>https://mcp.opencaselaw.ch/entscheid/bger_2C_197_2016</w:t>
      </w:r>
    </w:p>
    <w:p>
      <w:r>
        <w:t>FR: TF 2C_197/2016 du 3 mars 2016</w:t>
      </w:r>
    </w:p>
    <w:p>
      <w:r>
        <w:t>IT: TF 2C_197/2016 del 3 marzo 2016</w:t>
      </w:r>
    </w:p>
    <w:p>
      <w:pPr>
        <w:pStyle w:val="Heading2"/>
      </w:pPr>
      <w:r>
        <w:t>Erwägungen</w:t>
      </w:r>
    </w:p>
    <w:p>
      <w:r>
        <w:rPr>
          <w:b/>
        </w:rPr>
        <w:t>E. 1</w:t>
      </w:r>
    </w:p>
    <w:p>
      <w:r>
        <w:t>Par arrêt du 25 janvier 2016, le Tribunal cantonal du canton de Neuchâtel a rejeté le recours que A.________, ressortissant du Bangladesh, a déposé contre la décision du Département de l'économie et de l'action sociale du canton de Neuchâtel du 8 juin 2015 refusant, sur reconsidération, de lui octroyer une autorisation de séjour.</w:t>
      </w:r>
    </w:p>
    <w:p>
      <w:r>
        <w:rPr>
          <w:b/>
        </w:rPr>
        <w:t>E. 2</w:t>
      </w:r>
    </w:p>
    <w:p>
      <w:r>
        <w:t>Agissant par la voie du recours en matière de droit public, A.________ demande au Tribunal fédéral, sous suite de frais et dépens, d'annuler l'arrêt rendu le 25 janvier 2016 et de lui octroyer une autorisation de séjour. Il se plaint de la violation des art. 30, 44 et 83 LEtr ainsi que 8 CEDH. Il soutient qu'il est faux d'affirmer que rien ne s'oppose à son renvoi dans son pays d'origine au vu de son état de santé psychique. Il demande l'effet suspensif et requiert le bénéfice de l'assistance judiciaire.</w:t>
      </w:r>
    </w:p>
    <w:p>
      <w:r>
        <w:rPr>
          <w:b/>
        </w:rPr>
        <w:t>E. 3</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ainsi que contre celles qui concernent une dérogation aux conditions d'admission, telle que prévue par l'art. 30 LEtr. En l'espèce, ni la partenaire ni le fils du recourant ne disposent d'un droit de séjour durable en Suisse qui permettrait d'invoquer l' art. 8 CEDH ( ATF 137 II 393 consid. 3.3 p. 396 s.; arrêt 2C_987/2015 du 9 novembre 2015 consid. 3). Au vu de leur formulation potestative, les art. 30 et 44 LEtr ne confèrent aucun droit au recourant ( ATF 137 II 393 consid. 3.3 p. 396 s.). Il s'ensuit que le mémoire est irrecevable en tant que recours en matière de droit public et qu'il doit être considéré comme un recours constitutionnel subsidiaire ( art. 113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des art. 30 et 44 LEtr au vu de leur formulation potestative (cf. consid. 3 ci-dessus) ou 8 CEDH ni invoquer de manière indépendante l'interdiction de l'arbitraire ou encore la violation du principe de proportionnalité, n'a pas une position juridique protégée lui conférant la qualité pour agir au fond sous cet angle ( ATF 133 I 185 ).</w:t>
      </w:r>
    </w:p>
    <w:p>
      <w:r>
        <w:rPr>
          <w:b/>
        </w:rPr>
        <w:t>E. 4.2</w:t>
      </w:r>
    </w:p>
    <w:p>
      <w:r>
        <w:t>Enfin,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au Secrétariat d'Etat aux migrations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 ce que le recourant n'a pas fait en l'espèce, puisqu'il n'invoque la violation d'aucun droit fondamental spécifique ou équivalent à un déni de justice formel.</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ainsi devenue sans objet.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