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2C_197/2013 vom 31. Juli 2013</w:t>
      </w:r>
    </w:p>
    <w:p>
      <w:r>
        <w:t>Bundesgericht, 2013-07-31, FR</w:t>
      </w:r>
    </w:p>
    <w:p>
      <w:r>
        <w:rPr>
          <w:b/>
        </w:rPr>
        <w:t xml:space="preserve">Quelle: </w:t>
      </w:r>
      <w:r>
        <w:t>https://mcp.opencaselaw.ch/entscheid/bger_2C_197_2013</w:t>
      </w:r>
    </w:p>
    <w:p>
      <w:r>
        <w:t>FR: TF 2C_197/2013 du 31 juillet 2013</w:t>
      </w:r>
    </w:p>
    <w:p>
      <w:r>
        <w:t>IT: TF 2C_197/2013 del 31 luglio 2013</w:t>
      </w:r>
    </w:p>
    <w:p>
      <w:pPr>
        <w:pStyle w:val="Heading2"/>
      </w:pPr>
      <w:r>
        <w:t>Erwägungen</w:t>
      </w:r>
    </w:p>
    <w:p>
      <w:r>
        <w:rPr>
          <w:b/>
        </w:rPr>
        <w:t>E. 1</w:t>
      </w:r>
    </w:p>
    <w:p>
      <w:r>
        <w:t>Le Tribunal fédéral examine d'office sa compétence ( art. 29 al. 1 LTF ). Il contrôle donc librement la recevabilité des recours qui lui sont soumis ( ATF 136 I 42 consid. 1 p. 43; 136 II 101 consid. 1 p. 103).</w:t>
      </w:r>
    </w:p>
    <w:p>
      <w:r>
        <w:rPr>
          <w:b/>
        </w:rPr>
        <w:t>E. 1.1</w:t>
      </w:r>
    </w:p>
    <w:p>
      <w:r>
        <w:t>L'Office fédéral a qualité pour former un recours en matière de droit public si l'acte attaqué est susceptible de violer la législation fédérale dans son domaine d'attributions, c'est-à-dire en droit des étrangers et de la nationalité ( art. 89 al. 2 let. a LTF et 14 al. 2 de l'ordonnance du 17 novembre 1999 sur l'organisation du Département fédéral de justice et police [Org. DFJP; RS 172.213.1]).</w:t>
      </w:r>
    </w:p>
    <w:p>
      <w:r>
        <w:rPr>
          <w:b/>
        </w:rPr>
        <w:t>E. 1.2</w:t>
      </w:r>
    </w:p>
    <w:p>
      <w:r>
        <w:t>En principe, la qualité pour recourir suppose un intérêt actuel au recours. La jurisprudence admet toutefois d'en faire abstraction lorsqu'il se justifie que la question litigieuse soit tranchée par le Tribunal fédéral, notamment s'il s'agit d'une question juridique nouvelle ou s'il n'est pas possible autrement de s'opposer au développement d'une pratique contraire au droit fédéral (cf. arrêt 2C_445/2007 du 30 octobre 2007 consid. 1.2 et les références citées). En l'espèce, la mesure d'interdiction litigieuse est certes limitée dans le temps au 21 juin 2013, mais l'Office fédéral dispose d'un intérêt suffisant, sous l'angle de l'application uniforme du droit fédéral, pour contester l'arrêt entrepris dans la mesure où celui-ci rendrait, selon l'office, l'art. 74 LEtr pratiquement inapplicable en Ville de Genève.</w:t>
      </w:r>
    </w:p>
    <w:p>
      <w:r>
        <w:rPr>
          <w:b/>
        </w:rPr>
        <w:t>E. 1.3</w:t>
      </w:r>
    </w:p>
    <w:p>
      <w:r>
        <w:t>Au surplus, déposé en temps utile (art. 100 al. 1 et 46 al. 1 let. b LTF) et dans les formes prescrites par la loi ( art. 42 LTF ), le présent recours est en principe recevable en vertu des art. 82 ss LTF .</w:t>
      </w:r>
    </w:p>
    <w:p>
      <w:r>
        <w:rPr>
          <w:b/>
        </w:rPr>
        <w:t>E. 2</w:t>
      </w:r>
    </w:p>
    <w:p>
      <w:r>
        <w:t>Saisi d'un recours en matière de droit public, le Tribunal fédéral examine librement la violation du droit fédéral ( art. 95 let. a et 106 al. 1 LTF ), sous réserve des exigences de motivation figurant à l' art. 106 al. 2 LTF . Il y procède en se fondant sur les faits constatés par l'autorité précédente ( art. 105 al. 1 LTF ), à moins que ces faits n'aient été établis de façon manifestement inexacte - notion qui correspond à celle d'arbitraire ( ATF 138 I 49 consid. 7.1 p. 51) - ou en violation du droit au sens de l' art. 95 LTF (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135 II 313 consid. 5.2.2 p. 322; 133 IV 286 consid. 6.2 p. 288). En particulier, le Tribunal fédéral n'entre pas en matière sur des critiques de type appellatoire portant sur l'état de fait ou sur l'appréciation des preuves ( ATF 136 II 101 consid. 3 p. 104; 135 II 313 consid. 5.2.2 p. 322).</w:t>
      </w:r>
    </w:p>
    <w:p>
      <w:r>
        <w:rPr>
          <w:b/>
        </w:rPr>
        <w:t>E. 3</w:t>
      </w:r>
    </w:p>
    <w:p>
      <w:r>
        <w:t>Bien qu'il semble être principalement fondé sur la violation du principe de la proportionnalité, l'arrêt entrepris laisse entendre, sans toutefois l'affirmer clairement, que l'art. 74 LEtr ne serait pas applicable dès lors que l'intimé n'a été condamné que pour des infractions à la LEtr.</w:t>
      </w:r>
    </w:p>
    <w:p>
      <w:r>
        <w:rPr>
          <w:b/>
        </w:rPr>
        <w:t>E. 3.1</w:t>
      </w:r>
    </w:p>
    <w:p>
      <w:r>
        <w:t>A teneur de l'art. 74 al. 1 let. a LEtr, l'autorité cantonale compétente peut 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cette mesure vise notamment à lutter contre le trafic illégal de stupéfiants.</w:t>
      </w:r>
    </w:p>
    <w:p>
      <w:r>
        <w:t>Selon le Message du Conseil fédéral du 22 décembre 1993 (FF 1994 I 325), les étrangers dépourvus d'autorisation de séjour n'ont pas le droit à une liberté totale de mouvement. S'agissant d'une atteinte relativement légère à la liberté personnelle, le seuil pour l'ordonner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w:t>
      </w:r>
    </w:p>
    <w:p>
      <w:r>
        <w:t>D'après la jurisprudence, le simple soupçon qu'un étranger puisse commettre des infractions dans le milieu de la drogue justifie une mesure prise en application de l'art. 74 al. 1 let. a LEtr (cf. arrêts 2C_437/2009 du 27 octobre 2009 consid. 2.1; 2A.347/2003 du 24 novembre 2003 consid. 2.2). En outre, de tels soupçons peuvent découler du seul fait de la possession de stupéfiants destinés à sa propre consommation (cf. arrêt 2A.148/2003 du 30 mai 2003 consid. 3.3).</w:t>
      </w:r>
    </w:p>
    <w:p>
      <w:r>
        <w:rPr>
          <w:b/>
        </w:rPr>
        <w:t>E. 3.2</w:t>
      </w:r>
    </w:p>
    <w:p>
      <w:r>
        <w:t>Dans le cas particulier, l'intimé a été interpellé le 28 septembre 2011 dans un appartement de la rue A.________ en compagnie de trois ressortissants étrangers. La police y a découvert de l'argent, du haschich et de la marijuana. Deux des personnes présentes ont admis s'adonner au trafic de stupéfiants et l'une d'entre elles à indiqué que les trois autres occupants du logement vendaient également de la drogue. Comme l'intimé a toujours refusé de dire pour quels employeurs il travaillait occasionnellement au noir et quel était le produit de cette activité lucrative, il n'est pas surprenant qu'il ait été soupçonné par la police de subvenir à une partie à tout le moins de ses besoins par la vente de stupéfiants.</w:t>
      </w:r>
    </w:p>
    <w:p>
      <w:r>
        <w:t>Lors d'un contrôle du 20 décembre 2012 au centre-ville, l'intimé a tenté de se débarrasser de 43 gr. de haschich qu'il portait sur lui. Il a reconnu à cette occasion qu'il venait de vendre trois morceaux de cette substance de 5 gr. chacun, pour une somme de 150 fr., et admis qu'il complétait ses revenus par la vente de cannabis. Il achetait de la drogue qu'il revendait à la gare de Cornavin. Lorsque l'Officier de police a prononcé la mesure d'interdiction de pénétrer au centre-ville de Genève, il était donc établi que l'intimé, dépourvu de pièce d'identité, sans domicile fixe et sans ressources financières assurées, consommait de la drogue, fréquentait le milieu des trafiquants de drogue, se ravitaillait à la gare de Cornavin et vendait une partie de la marchandise pour subvenir à ses besoins. Les soupçons qui pesaient sur lui - indépendamment du fait que l'ordonnance pénale du 21 décembre 2012 avait fait l'objet d'une opposition - étaient manifestement suffisants pour entraîner l'interdiction de périmètre sur une partie du territoire genevois qui lui a été notifiée. Il ressort d'ailleurs du dossier cantonal que l'intimé a été arrêté une nouvelle fois le 8 mars 2013, soit postérieurement à la date de la décision litigieuse, et qu'il a admis vendre régulièrement du haschich, à raison d'environ 250 gr. par mois et avoir réalisé un chiffre d'affaires de 15'000 fr. pendant les six derniers mois, pour un bénéfice de 6'000 fr.</w:t>
      </w:r>
    </w:p>
    <w:p>
      <w:r>
        <w:t>Les conditions d'application de l'art. 74 al. 1 let. a LEtr étaient donc réunies le 21 décembre 2012 au vu du comportement adopté par l'intimé depuis son arrivée dans le canton de Genève.</w:t>
      </w:r>
    </w:p>
    <w:p>
      <w:r>
        <w:rPr>
          <w:b/>
        </w:rPr>
        <w:t>E. 4</w:t>
      </w:r>
    </w:p>
    <w:p>
      <w:r>
        <w:t>Il reste à examiner si la mesure imposée à l'intimé respecte le principe de la proportionnalité.</w:t>
      </w:r>
    </w:p>
    <w:p>
      <w:r>
        <w:rPr>
          <w:b/>
        </w:rPr>
        <w:t>E. 4.1</w:t>
      </w:r>
    </w:p>
    <w:p>
      <w:r>
        <w:t>Pour être conforme au principe de la proportionnalité énoncé à l' art. 36 al. 3 Cst. , une restriction d'un droit fondamental, en l'espèce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 ATF 137 I 167 consid. 3.6 p. 175 s.; 136 I 197 consid. 4.4.4 p. 205).</w:t>
      </w:r>
    </w:p>
    <w:p>
      <w:r>
        <w:t>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2C_1044/2012 du 5 novembre 2012 consid. 3.3; 2A.514/2006 du 23 janvier 2007 consid. 3.3.1; 2A.583/2000 du 6 avril 2001 consid. 3c).</w:t>
      </w:r>
    </w:p>
    <w:p>
      <w:r>
        <w:rPr>
          <w:b/>
        </w:rPr>
        <w:t>E. 4.2</w:t>
      </w:r>
    </w:p>
    <w:p>
      <w:r>
        <w:t>En l'espèce, la Cour de Justice a considéré que le périmètre visé par l'interdiction litigieuse était trop vaste et présentait le défaut d'inclure l'appartement sis à la rue A.________ où l'intimé dormait souvent, ainsi que l'adresse indiquée par l'intéressé dans l'opposition à l'ordonnance pénale du 21 décembre 2012, soit à la rue B.________. Ce raisonnement n'emporte pas conviction. Depuis qu'il séjourne dans le canton de Genève, l'intimé a obstinément refusé d'indiquer où il vivait. Le 31 août 2011, il a déclaré qu'il dormait dans la rue ou chez des amis et le 28 septembre 2011, qu'il résidait en banlieue, sans vouloir fournir d'adresse précise. Le 20 décembre 2012, à la question: "Où avez-vous résidé en Suisse?", il a répondu: "Chez une amie, à C.________. Je ne veux pas vous dire où exactement". Dès lors que l'intimé refuse délibérément de renseigner les autorités sur son lieu de résidence qui, au demeurant, varie en fonction de ses pérégrinations et des contacts qu'il peut nouer, il ne se justifie pas de tenir compte de son lieu de séjour hypothétique pour juger de la proportionnalité de la mesure d'interdiction prononcée. La référence au domicile de la rue A.________ est d'ailleurs particulièrement inadéquate puisque l'intimé a expressément déclaré, lors de son audition du 28 septembre 2011, qu'il n'était pas domicilié à cet endroit, où il exécutait uniquement quelques travaux de peinture. A suivre le raisonnement de l'autorité précédente, il suffirait à tout étranger résidant illégalement en Suisse de prétendre qu'il a son domicile dans le périmètre défini pour échapper à toute mesure d'interdiction d'y pénétrer.</w:t>
      </w:r>
    </w:p>
    <w:p>
      <w:r>
        <w:t>Le périmètre d'interdiction est limité au centre-ville de Genève, lieu notoire du trafic de stupéfiants. L'intimé a d'ailleurs indiqué qu'il s'approvisionnait à la gare de Cornavin. Selon la jurisprudence, un tel périmètre peut même inclure l'ensemble du territoire d'une ville (cf. arrêts 2A.647/2006 du 12 février 2007 consid. 3.3 pour les villes d'Olten et de Soleure et 2A.347/2003 du 24 novembre 2003 consid. 4.2 pour la ville de Berne). Quant à la limitation de la durée de la mesure à six mois, on voit mal qu'une durée inférieure puisse être efficace.</w:t>
      </w:r>
    </w:p>
    <w:p>
      <w:r>
        <w:t>Pour le surplus, la remarque de l'intimé selon laquelle la mesure litigieuse a été appliquée sans égard à sa situation personnelle est particulièrement déplacée dans la mesure où ce dernier n'a eu de cesse de la dissimuler depuis son arrivée en Suisse.</w:t>
      </w:r>
    </w:p>
    <w:p>
      <w:r>
        <w:t>Dans ces conditions, en considérant que la mesure d'interdiction de pénétrer ne respectait pas le principe de la proportionnalité, l'autorité précédente a violé le droit fédéral.</w:t>
      </w:r>
    </w:p>
    <w:p>
      <w:r>
        <w:rPr>
          <w:b/>
        </w:rPr>
        <w:t>E. 5</w:t>
      </w:r>
    </w:p>
    <w:p>
      <w:r>
        <w:t>Il résulte de ce qui précède que le recours doit être admis et l'arrêt entrepris annulé.</w:t>
      </w:r>
    </w:p>
    <w:p>
      <w:r>
        <w:t>La cause doit être renvoyée à la Cour de Justice afin qu'elle statue à nouveau sur le sort des frais et dépens de la procédure cantonale ( art. 67 et 68 al. 5 LTF ).</w:t>
      </w:r>
    </w:p>
    <w:p>
      <w:r>
        <w:t>Bien que l'intimé n'ait jamais fourni le moindre renseignement sur la source et l'étendue de son activité lucrative, il peut être mis au bénéfice de l'assistance judiciaire. Il y a lieu en conséquence de nommer Me Alexis Dubois-Ferrière en qualité de conseil d'office et de lui allouer une indemnité à titre d'honoraires ( art. 64 al. 2 LTF ).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