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2C_197/2012 vom 29. Oktober 2012</w:t>
      </w:r>
    </w:p>
    <w:p>
      <w:r>
        <w:t>Bundesgericht, 2012-10-29, DE</w:t>
      </w:r>
    </w:p>
    <w:p>
      <w:r>
        <w:rPr>
          <w:b/>
        </w:rPr>
        <w:t xml:space="preserve">Quelle: </w:t>
      </w:r>
      <w:r>
        <w:t>https://mcp.opencaselaw.ch/entscheid/bger_2C_197_2012</w:t>
      </w:r>
    </w:p>
    <w:p>
      <w:r>
        <w:t>FR: TF 2C_197/2012 du 29 octobre 2012</w:t>
      </w:r>
    </w:p>
    <w:p>
      <w:r>
        <w:t>IT: TF 2C_197/2012 del 29 ottobre 2012</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BGG ; BGE 135 II 1 E. 1.2.1 S. 4), und der Beschwerdeführer ist zur Ergreifung dieses Rechtsmittels befugt ( Art. 89 BGG ).</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In Ergänzung zu den Rügen, die sich auf Art. 95 f. BGG stützen, sind unter den engen Voraussetzungen von Art. 97 Abs. 1 BGG zwar auch Vorbringen gegen die Sachverhaltsfeststellung zulässig. Ein solcher Einwand kann nach der letztgenannten Bestimmung aber nur erhoben werden, wenn die Feststellung des Sachverhalts durch die Vorinstanz offensichtlich unrichtig, d.h. willkürlich ist oder auf einer Rechtsverletzung im Sinne von Art. 95 BGG beruht ( BGE 133 II 249 E. 1.2.2 S. 252; 133 III 393 E. 7.1 S. 398). Zudem ist vom Beschwerdeführer aufzuzeigen, dass die Behebung des Mangels für den Ausgang des Verfahrens entscheidend sein kann ( Art. 97 Abs. 1 BGG ).</w:t>
      </w:r>
    </w:p>
    <w:p>
      <w:r>
        <w:rPr>
          <w:b/>
        </w:rPr>
        <w:t>E. 2</w:t>
      </w:r>
    </w:p>
    <w:p>
      <w:r>
        <w:t>Der Beschwerdeführer macht zunächst eine Verletzung seines Anspruchs auf rechtliches Gehör im Sinne von Art. 29 Abs. 2 BV (dazu statt vieler BGE 135 II 286 E. 5.1 S. 293) geltend. Er habe vor der Vorinstanz gestützt auf ein Gutachten von Dr. med. A.________ vom 4. Mai 2009 ausgeführt, die gezeigte Kriminalität sei als Ausdruck einer lebensphasischen Veränderung im Rahmen einer erschwerten Adoleszenz zu verstehen. Im Weiteren bestehe keine nennenswerte Rückfallgefahr, weil von einer Nachreifung und Festigung der Persönlichkeit des Beschwerdeführers auszugehen sei, dieser über intakte familiäre Beziehungen, eine gute soziale Einbindung sowie über einen festen Wohnsitz verfüge. Das Verwaltungsgericht hingegen erwähne dieses psychiatrische Gutachten "mit keinem Wort" und setze "sich damit überhaupt nicht auseinander".</w:t>
      </w:r>
    </w:p>
    <w:p>
      <w:r>
        <w:t>Es trifft zu, dass die Vorinstanz das Gutachten Dr. A.________ vom 4. Mai 2009 im angefochtenen Entscheid nicht namentlich genannt hat. In ihren Erwägungen hat sie sich aber inhaltlich ausdrücklich zu den Folgerungen geäussert, die der Beschwerdeführer in seiner Beschwerdeschrift an das Verwaltungsgericht (S. 6 f.) aus diesem Gutachten gezogen hat. Eine Verletzung des Anspruchs auf rechtliches Gehör liegt damit nicht vor.</w:t>
      </w:r>
    </w:p>
    <w:p>
      <w:r>
        <w:t>Soweit der Beschwerdeführer sodann eine Verletzung der Begründungspflicht geltend macht, indem das Verwaltungsgericht auch auf andere Vorbringen keinerlei Bezug nehme und sich mit den aufgeworfenen rechtlichen Argumenten gar nicht auseinandersetze, dringt seine Rüge der Gehörsverletzung ebenso wenig durch: Die Begründungspflicht bedeutet nicht, dass die Behörde sich ausdrücklich mit jeder tatbeständlichen Behauptung und jedem rechtlichen Einwand auseinandersetzen muss. Vielmehr kann sie sich auf die für den Entscheid wesentlichen Gesichtspunkte beschränken ( BGE 136 I 229 E. 5.2 S. 236 ; 134 I 83 E. 4.1 S. 88 ; 133 I 270 E. 3.1 S. 277; je mit Hinweisen). Aus dem angefochtenen Entscheid ergibt sich mit genügender Klarheit, weshalb die Vorinstanz im Widerruf der Niederlassungsbewilligung keine Rechtsverletzung erkannte; der Beschwerdeführer vermochte dieses Urteil denn auch durchaus sachgerecht anzufechten.</w:t>
      </w:r>
    </w:p>
    <w:p>
      <w:r>
        <w:rPr>
          <w:b/>
        </w:rPr>
        <w:t>E. 3</w:t>
      </w:r>
    </w:p>
    <w:p>
      <w:r>
        <w:t>Unter den Voraussetzungen von Art. 63 AuG kann die Niederlassungsbewilligung widerrufen werden. Einen Widerrufsgrund setzt ein Ausländer unter anderem dann, wenn er "zu einer längerfristigen Freiheitsstrafe verurteilt wurde" (Art. 62 lit. b AuG in Verbindung mit Art. 63 lit. a AuG) oder "in schwerwiegender Weise gegen die öffentliche Sicherheit und Ordnung in der Schweiz oder im Ausland verstossen hat oder diese gefährdet" (Art. 63 lit. b AuG). Als längerfristig im Sinne von Art. 62 lit. b AuG gilt eine Freiheitsstrafe, wenn ihre Dauer ein Jahr überschreitet ( BGE 135 II 377 E. 4.2 und E. 4.5 S. 379 ff.).</w:t>
      </w:r>
    </w:p>
    <w:p>
      <w:r>
        <w:t>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2C_793/2008 vom 27. März 2009 E. 2.1 mit Hinweisen). Was das Fernhalteinteresse anbetrifft, so darf bei Ausländern, welche sich - wie hier -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 (vgl. Urteil 2C_679/2011 vom 21. Februar 2012, E. 3.1).</w:t>
      </w:r>
    </w:p>
    <w:p>
      <w:r>
        <w:t>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4.1</w:t>
      </w:r>
    </w:p>
    <w:p>
      <w:r>
        <w:t>Der Beschwerdeführer bestreitet das Vorliegen eines Widerrufsgrundes (Art. 63 Abs. 1 lit. a in Verbindung mit Art. 62 lit. b AuG) zu Recht nicht. Er macht aber geltend, das Verwaltungsgericht hätte eine qualifiziert unrichtige Interessenabwägung vorgenommen, indem dieses "dem öffentlichen Sicherheitsinteresse ein zu starkes Gewicht beigemessen" habe. In willkürlicher Weise sei das Gericht dabei von einer immer noch bestehenden Rückfallgefahr ausgegangen. Seit Ende Oktober 2004 sei es jedoch beim Beschwerdeführer nur noch vereinzelt zu strafbaren Handlungen gekommen; zudem habe er nie schwere Gewalt-, Sexual- und Betäubungsmitteldelikte begangen und bei seiner Delinquenz handle es sich um typische Formen von Jugendkriminalität, zumal er die strafbaren Handlungen bis auf wenige Ausnahmen im Alter zwischen 15 und 19 Jahren begangen habe. Unter Berücksichtigung seines Wohlverhaltens seit seiner letzten Verurteilung sei heute von einer günstigen Legalprognose auszugehen. Der Widerruf der Niederlassungsbewilligung erweise sich ausserdem als unverhältnismässig: Der Beschwerdeführer sei im Wesentlichen in der Schweiz aufgewachsen und hier tief verwurzelt. Demgegenüber sei Kosovo für ihn ein fremdes Land, das er nur von wenigen kurzen Aufenthalten her kenne und wohin er keine Kontakte mehr pflege.</w:t>
      </w:r>
    </w:p>
    <w:p>
      <w:r>
        <w:rPr>
          <w:b/>
        </w:rPr>
        <w:t>E. 4.2</w:t>
      </w:r>
    </w:p>
    <w:p>
      <w:r>
        <w:t>Die Vorinstanz hat zutreffend festgestellt, dass Ausgangspunkt und Massstab der fremdenpolizeilichen Güterabwägung in erster Linie die Schwere des Verschuldens ist, das sich in der Dauer der Freiheitsstrafe niederschlägt (Urteil 2C_295/2009 vom 25. September 2009 E. 5.3, nicht publ. in: BGE 135 II 377 ; BGE 129 II 215 E. 3.1 S. 316). Nach den für das Bundesgericht grundsätzlich verbindlichen Sachverhaltsfeststellungen der Vorinstanz (vgl. E. 1.2) sind der letzten Verurteilung - zu einer Freiheitsstrafe von 35 Monaten - zahlreiche Delikte des Beschwerdeführers zugrunde gelegen: So hat er 2004 als Mitglied einer Bande 14 Einbruchdiebstähle begangen, wobei Deliktsgut von rund Fr. 111'800.-- erbeutet wurde. Vier Jahre später (2008) hat er sich an einem vorgetäuschten Überfall eines weiteren Tankstellenshops beteiligt. Er ist, ohne im Besitz eines gültigen Fahrausweises zu sein, zum Tatort gefahren, hat Diebesgut im Wert von Fr. 32'851.-- entgegengenommen und einen Sachschaden von rund Fr. 63'000.-- angerichtet.</w:t>
      </w:r>
    </w:p>
    <w:p>
      <w:r>
        <w:t>Auch als unbeherrschter Gewalttäter gegen Personen fiel der Beschwerdeführer auf: So schlug er 2005 einen jungen Mann so stark ins Gesicht, dass dieser zu Boden ging. Später, im Februar 2007, griff er einen Unbeteiligten in einem wartenden Postauto an und schlug ihm drei- bis viermal die Faust ins Gesicht. Ein halbes Jahr später schliesslich schlug er einem Sicherheitsangestellten eines Clubs unvermittelt die Faust ins Gesicht, so dass dieser eine Hirnerschütterung sowie eine Rissquetschwunde an der Unterlippe erlitt. Während all diesen Jahren hat sich der Beschwerdeführer von den gegen ihn verhängten Jugendstrafen, bereits erfolgten Verurteilungen und andauernden, immer wieder neuen Strafuntersuchungen nicht im Geringsten beeindrucken lassen. Wenn das Verwaltungsgericht dem Beschwerdeführer "ausgeprägte Uneinsichtigkeit" bzw. eine "hohe kriminelle Energie" attestiert und bei ihm eine erhöhte Rückfallgefahr ortet, erscheint dies unter den genannten Umständen nicht bundesrechtswidrig. Hinzu kommt, dass der Beschwerdeführer - im Gegensatz etwa zu den Fällen Maslov und Emre (vgl. Urteile des EGMR Maslov gegen Österreich vom 23. Juni 2008 [1638/03] sowie Emre gegen Schweiz vom 22. August 2008 [42034/04]) - keineswegs bloss im Jugendalter delinquiert hat; die Körperverletzungen etwa beging er als Erwachsener, und auch die Vergehen gegen die Waffengesetzgebung (Mitführen eines Schlagrings bzw. eines "Butterfly-Messers") stammen aus der Zeit, als er längst volljährig war (2007).</w:t>
      </w:r>
    </w:p>
    <w:p>
      <w:r>
        <w:t>Nichts zu seinen Gunsten kann der Beschwerdeführer sodann aus seinem Verhalten in der Zeit nach der (letzten) Tat ableiten: Insbesondere wird eine gute Führung im Strafvollzug vom Strafgefangenen generell erwartet und lässt angesichts der dort vorhandenen, verhältnismässig engmaschigen Betreuung keine verlässlichen Rückschlüsse auf das künftige Verhalten in Freiheit zu. Hinzu kommt, dass für Legalprognosen in fremdenpolizeilicher Hinsicht mit Blick auf das im Vordergrund stehende Interesse der öffentlichen Ordnung und Sicherheit ein strengerer Beurteilungsmassstab zum Tragen kommt als im strafrechtlichen Sanktionenrecht (vgl. BGE 120 Ib 129 E. 5b S. 132; 130 II 176 E. 4.3.3 S. 188).</w:t>
      </w:r>
    </w:p>
    <w:p>
      <w:r>
        <w:rPr>
          <w:b/>
        </w:rPr>
        <w:t>E. 4.3</w:t>
      </w:r>
    </w:p>
    <w:p>
      <w:r>
        <w:t>Nach der Rechtsprechung schützt Art. 8 EMRK im Zusammenhang mit der Bewilligung des Aufenthalts in erster Linie die Kernfamilie, d.h. die Gemeinschaft der Ehegatten mit ihren minderjährigen Kindern ( BGE 135 I 143 E. 1.3.2 S. 146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 vgl. auch Urteil des EGMR Khan gegen Vereinigtes Königreich vom 12. Januar 2010, [47486/06] § 34 f. mit Hinweisen). Der Anspruch auf Schutz des Privatlebens kann auch ohne Familienbezug tangiert sein, wenn ein Ausländer ausgewiesen werden soll (Urteil des EGMR A.A. gegen Vereinigtes Königreich vom 20. September 2011, [8000/08] § 49). Aus diesem Anspruch ergibt sich ein Recht auf Verbleib im Land aber nur unter besonderen Umständen. Eine lange Anwesenheit und die damit verbundene normale Integration genügen hierzu nicht; erforderlich sind besonders intensive private Beziehungen beruflicher oder gesellschaftlicher Natur ( BGE 130 II 281 E. 3.2.1 S. 286; 126 II 377 E. 2c S. 384 ff.; 120 Ib 16 E. 3b S. 22).</w:t>
      </w:r>
    </w:p>
    <w:p>
      <w:r>
        <w:t>Zwar leben die Eltern des Beschwerdeführers und auch seine Geschwister in der Schweiz. Der Beschwerdeführer ist aber der Kernfamilie entwachsen, unverheiratet und hat keine Kinder. Wohl mag er, wie er geltend macht, zu seinen Eltern und Geschwistern einen "äusserst engen familiären Kontakt" pflegen. Diese Beziehungen sind allerdings im Lichte von Art. 8 EMRK nicht mehr relevant (vgl. BGE 135 I 143 E. 1.3.2); ein besonderes Abhängigkeitsverhältnis (namentlich Betreuungs- oder Pflegebedürfnisse bei körperlichen oder geistigen Behinderungen und schwerwiegende Krankheiten), welches einen Aufenthaltsanspruch zu begründen vermöchte, ist weder dargetan noch ersichtlich (vgl. BGE 129 II 11 E. 2 S. 14; 120 Ib 257 E. 1d und e S. 261 f. sowie Urteil 2C_213/2010 vom 11. Oktober 2010 E. 2.2.3). Sodann ist der Beschwerdeführer seit längerer Zeit stellenlos. Von besonders intensiven privaten Beziehungen beruflicher und gesellschaftlicher Natur kann unter diesen Umständen nicht die Rede sein.</w:t>
      </w:r>
    </w:p>
    <w:p>
      <w:r>
        <w:rPr>
          <w:b/>
        </w:rPr>
        <w:t>E. 4.4</w:t>
      </w:r>
    </w:p>
    <w:p>
      <w:r>
        <w:t>Soweit der Beschwerdeführer geltend macht, er habe keinen Bezug zum Kosovo mehr und er pflege keinen Kontakt dorthin, ist ihm entgegenzuhalten, dass das Verwaltungsgericht die Verhältnisse, die den Beschwerdeführer dort erwarten, nicht übersehen hat: Es erwog in diesem Zusammenhang, der Beschwerdeführer verfüge in der Heimat nach wie vor über Verwandte, zu denen zumindest seine Eltern immer noch Kontakt pflegten. Sodann besuchte er nach eigenen Angaben während der Anwesenheit in der Schweiz seine Heimat "zweimal für die Dauer von je etwa drei Wochen". Zwar mögen diese Umstände darauf hindeuten, dass die Rückkehr des Beschwerdeführers in den Kosovo für diesen mit gewissen Schwierigkeiten verbunden sein wird, sie schliessen aber nicht aus, dass er in diesem Land leben und - angesichts seines jugendlichen Alters - dort auch arbeiten kann. Dabei werden ihm die in der - wenn auch abgebrochenen - Anlehre als Reifenfachmann erworbenen Kenntnisse von Nutzen sein.</w:t>
      </w:r>
    </w:p>
    <w:p>
      <w:r>
        <w:rPr>
          <w:b/>
        </w:rPr>
        <w:t>E. 4.5</w:t>
      </w:r>
    </w:p>
    <w:p>
      <w:r>
        <w:t>Somit ist unter keinem Teilgehalt von Art. 8 EMRK eine Verletzung ersichtlich, und die vorgenommene Interessenabwägung erweist sich als bundesrechts- bzw. konventionskonform. Die Beschwerde in öffentlich-rechtlichen Angelegenheiten ist unbegründet.</w:t>
      </w:r>
    </w:p>
    <w:p>
      <w:r>
        <w:t>Die vom Beschwerdeführer eventualiter beantragte Anweisung des Bundesgerichts an die Sicherheitsdirektion, ihm eine Aufenthaltsbewilligung zu erteilen, steht ausser Frage: Auch wenn es sich beim Widerruf der Niederlassungsbewilligung im Sinne von Art. 63 AuG im Unterschied zur altrechtlichen Ausweisung nicht zugleich um eine Entfernungs- und Fernhaltemassnahme handelt, welche per se im Widerspruch zur Erteilung einer Anwesenheitsbewilligung stünde (Urteil 2C_761/2009 vom 18. Mai 2010 E. 7.4.2), geht es nicht an, beim Vorliegen eines Widerrufsgrundes, welcher wie im Falle von Art. 62 lit. b AuG alle Bewilligungsarten betrifft, den fremdenpolizeilichen Status (vom Niedergelassenen zum Aufenthalter) zu ändern (Urteil 2C_254/2010 vom 15. Juli 2010 E. 4.3, vgl. auch Urteil 2C_268/2011 vom 22. Juli 2011 E. 7.2 und die dort zitierten Urteile).</w:t>
      </w:r>
    </w:p>
    <w:p>
      <w:r>
        <w:rPr>
          <w:b/>
        </w:rPr>
        <w:t>E. 5</w:t>
      </w:r>
    </w:p>
    <w:p>
      <w:r>
        <w:t>Dies führt zur Abweisung der Beschwerde.</w:t>
      </w:r>
    </w:p>
    <w:p>
      <w:r>
        <w:t>Dem Ausgang des Verfahrens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