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2C_196/2011 vom 3. März 2011</w:t>
      </w:r>
    </w:p>
    <w:p>
      <w:r>
        <w:t>Bundesgericht, 2011-03-03, FR</w:t>
      </w:r>
    </w:p>
    <w:p>
      <w:r>
        <w:rPr>
          <w:b/>
        </w:rPr>
        <w:t xml:space="preserve">Quelle: </w:t>
      </w:r>
      <w:r>
        <w:t>https://mcp.opencaselaw.ch/entscheid/bger_2C_196_2011</w:t>
      </w:r>
    </w:p>
    <w:p>
      <w:r>
        <w:t>FR: TF 2C_196/2011 du 3 mars 2011</w:t>
      </w:r>
    </w:p>
    <w:p>
      <w:r>
        <w:t>IT: TF 2C_196/2011 del 3 marzo 2011</w:t>
      </w:r>
    </w:p>
    <w:p>
      <w:pPr>
        <w:pStyle w:val="Heading2"/>
      </w:pPr>
      <w:r>
        <w:t>Erwägungen</w:t>
      </w:r>
    </w:p>
    <w:p>
      <w:r>
        <w:rPr>
          <w:b/>
        </w:rPr>
        <w:t>E. 1</w:t>
      </w:r>
    </w:p>
    <w:p>
      <w:r>
        <w:t>Par mémoire du 1er mars 2011, la Ville de Genève a déposé un recours en matière de droit public contre la décision rendue le 3 février 2011 par la Cour de justice, Chambre administrative, accordant l'effet suspensif au recours déposé par X.________ contre la décision du 22 juillet 2010 de l'ancienne Commission cantonale de recours en matière administrative en matière d'usage accru du domaine public. X.________ est ainsi autorisée à exploiter son propre pavillon glacier dès le 1er mars 2011 jusqu'à droit jugé sur le fond à l'emplacement qui était le sien.</w:t>
      </w:r>
    </w:p>
    <w:p>
      <w:r>
        <w:rPr>
          <w:b/>
        </w:rPr>
        <w:t>E. 2</w:t>
      </w:r>
    </w:p>
    <w:p>
      <w:r>
        <w:t>Le Tribunal fédéral examine d'office sa compétence ( art. 29 al. 1 LTF ). Il contrôle donc librement la recevabilité des recours qui sont déposés devant lui ( ATF 136 I 43 consid. 1 p. 43). Conformément à l' art. 42 al. 1 et 2 LTF , dans la mesure où elles ne sont pas immédiatement données, la partie recourante doit exposer en quoi les conditions de recevabilité sont réunies, en particulier en quoi elle a qualité pour recourir, sous peine d'irrecevabilité ( ATF 133 II 353 consid. 1 p. 356 et les références citées). Le recourante se prévaut de l' art. 89 al. 1 LTF (cf. mémoire de recours, ch. 35 et 36).</w:t>
      </w:r>
    </w:p>
    <w:p>
      <w:r>
        <w:rPr>
          <w:b/>
        </w:rPr>
        <w:t>E. 3</w:t>
      </w:r>
    </w:p>
    <w:p>
      <w:r>
        <w:t>Selon la jurisprudence, l' art. 89 al. 1 LTF est prévu pour des particuliers. Cependant, une collectivité publique peut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ou encore lorsqu'elle est touchée de manière qualifiée dans ses prérogatives de puissance publique («hoheitlichen Befugnissen berührt») ( ATF 136 II 383 consid. 2.3 et 2.4 p. 385 ss et les références citées). En tant que commune, elle peut aussi fonder sa qualité pour recourir sur l' art. 89 al. 2 let . c LTF.</w:t>
      </w:r>
    </w:p>
    <w:p>
      <w:r>
        <w:t>En l'espèce, la recourante affirme remplir les conditions énoncées par la lettre de l' art. 89 al. 1 LTF (cf. mémoire de recours, ch. 35 et 36), sans exposer concrètement les motifs pour lesquels elle entrerait, le cas échéant, dans l'une ou l'autre des hypothèses d'application de l' art. 89 al. 1 LTF , ce qui ne répond pas aux exigences de motivation de l' art. 42 al. 2 LTF .</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par conséquent sans objet. Il n'est pas perçu de frais de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