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2C_196/2007 vom 16. Mai 2007</w:t>
      </w:r>
    </w:p>
    <w:p>
      <w:r>
        <w:t>Bundesgericht, 2007-05-16, DE</w:t>
      </w:r>
    </w:p>
    <w:p>
      <w:r>
        <w:rPr>
          <w:b/>
        </w:rPr>
        <w:t xml:space="preserve">Quelle: </w:t>
      </w:r>
      <w:r>
        <w:t>https://mcp.opencaselaw.ch/entscheid/bger_2C_196_2007</w:t>
      </w:r>
    </w:p>
    <w:p>
      <w:r>
        <w:t>FR: TF 2C_196/2007 du 16 mai 2007</w:t>
      </w:r>
    </w:p>
    <w:p>
      <w:r>
        <w:t>IT: TF 2C_196/2007 del 16 maggio 2007</w:t>
      </w:r>
    </w:p>
    <w:p>
      <w:pPr>
        <w:pStyle w:val="Heading2"/>
      </w:pPr>
      <w:r>
        <w:t>Erwägungen</w:t>
      </w:r>
    </w:p>
    <w:p>
      <w:r>
        <w:rPr>
          <w:b/>
        </w:rPr>
        <w:t>E. 1</w:t>
      </w:r>
    </w:p>
    <w:p>
      <w:r>
        <w:t>Mit Einspracheentscheid vom 22. September 2006 veranlagten die Schwyzer Steuerbehörden (Kantonale Steuerkommission/Kantonale Verwaltung für die direkte Bundessteuer) die Ehegatten A.X.________ und B.X.________ für das Steuerjahr 2001 mit einem steuerbaren Einkommen von ________ Franken bei den Staats- und Gemeindesteuern und von ________ Franken bei der direkten Bundessteuer; gleichzeitig wurden sie für das Steuerjahr 2002 mit einem steuerbaren Einkommen von ________ Franken bei den Staats- und Gemeindesteuern und von ________ Franken bei der direkten Bundessteuer eingeschätzt. Auf Beschwerde hin schützte das Verwaltungsgericht des Kantons Schwyz diese Veranlagungen (Entscheid vom 13. März 2007).</w:t>
      </w:r>
    </w:p>
    <w:p>
      <w:r>
        <w:rPr>
          <w:b/>
        </w:rPr>
        <w:t>E. 2</w:t>
      </w:r>
    </w:p>
    <w:p>
      <w:r>
        <w:t>Am 7. Mai 2007 haben A.X.________ und B.X.________ beim Bundesgericht "staatsrechtliche Beschwerde" (recte: Beschwerde in öffentlich-rechtlichen Angelegenheiten) eingereicht mit dem sinngemässen Antrag, den angefochtenen Entscheid aufzuheben sowie bei den Staats- und Gemeindesteuern und bei der direkten Bundessteuer je das steuerbare Einkommen des Jahres 2001 um 8'400 Franken und jenes des Jahres 2002 um 10'800 Franken zu reduzieren. Die Beschwerde ist offensichtlich unbegründet und kann im vereinfachten Verfahren nach Art. 109 BGG (summarische Begründung; Verzicht auf Einholung von Akten und Vernehmlassungen) abgewiesen werden.</w:t>
      </w:r>
    </w:p>
    <w:p>
      <w:r>
        <w:rPr>
          <w:b/>
        </w:rPr>
        <w:t>E. 3.1</w:t>
      </w:r>
    </w:p>
    <w:p>
      <w:r>
        <w:t>Der Beschwerdeführer ist als selbständiger Transportunternehmer tätig. Vor Bundesgericht sind insoweit lediglich noch Abzüge vom steuerbaren Einkommen in der Höhe von 8'400 (Jahr 2001) und 10'800 Franken (Jahr 2002) streitig. In diesem Umfang macht der Beschwerdeführer - über die von den Schwyzer Steuerbehörden pro Steuerjahr ermessensweise anerkannten 3'600 Franken hinaus - Spesen im Zusammenhang mit seiner Reisetätigkeit geltend. Der Beschwerdeführer bringt sinngemäss vor, es handle sich dabei um berufsmässig begründete Kosten im Sinne von Art. 27 des Bundesgesetzes vom 14. Dezember 1990 über die direkte Bundessteuer (DBG; SR 642.11), Art. 29 des Schwyzer Steuergesetzes vom 9. Februar 2000 (StG/SZ) und Art. 10 Abs. 1 des Bundesgesetzes vom 14. Dezember 1990 über die Harmonisierung der direkten Steuern der Kantone und Gemeinden (StHG; SR 642.14) .</w:t>
      </w:r>
    </w:p>
    <w:p>
      <w:r>
        <w:rPr>
          <w:b/>
        </w:rPr>
        <w:t>E. 3.2</w:t>
      </w:r>
    </w:p>
    <w:p>
      <w:r>
        <w:t>Die geltend gemachten Berufsauslagen, welche sich angeblich vorab aus Aufwendungen für die auswärtige Verpflegung des Beschwerdeführers und aus an Helfer bezahlte Trinkgelder zusammensetzen, stellen steuermindernde Tatsachen dar, deren Bestand der Beschwerdeführer als Steuerpflichtiger zu beweisen hat. Dennoch ist Letzterer für die streitigen Spesen jeglichen Nachweis schuldig geblieben und hat diesbezüglich überhaupt keine Belege eingereicht. Mithin kann keine Rede davon sein, dass der angefochtene Entscheid Bundesrecht verletze: Die Schwyzer Steuerbehörden sind dem Beschwerdeführer im Einspracheverfahren bereits insoweit entgegen gekommen, als sie - trotz fehlender Belege - ermessensweise einen Betrag von 3'600 Franken pro Steuerjahr zum Abzug zugelassen haben. Auch wenn dieser Betrag eher knapp erscheinen mag, ist der angefochtene Entscheid insoweit nicht zu beanstanden, zumal beim Bundesgericht nur Rechts- und keine Ermessensfehler geltend gemacht werden können (vgl. Art. 95 ff. BGG ). Auch wenn nach dem Gesagten die Angemessenheit der anerkannten Berufsauslagen nicht zu beurteilen ist, sei immerhin erwähnt, dass der vom Beschwerdeführer angestellte Vergleich mit der beamtenrechtlichen Spesenregelung zum Vornherein untauglich ist. Für eine allfällige Überprüfung der Ermessensausübung wäre eher der Pauschalabzug von jährlich 3'000 Franken heranzuziehen, der Unselbständigerwerbenden für die Mehrkosten auswärtiger Verpflegung zugestanden wird (vgl. den Anhang zur Verordnung des EFD vom 10. Februar 1993 über den Abzug von Berufskosten der unselbständigen Erwerbstätigkeit bei der direkten Bundessteuer [Fassung vom 22. Juli 2004; SR 642.118.1]). Unerheblich ist ferner, dass die kantonalen Steuerbehörden bisher offenbar entsprechende Spesen des Beschwerdeführers im Umfang von jährlich 12'000 Franken auch ohne Belege zum Abzug zugelassen hatten: Weder waren sie hierzu verpflichtet noch begründet der Umstand, dass früher entsprechend verfahren wurde, für das streitbetroffene Veranlagungsverfahren eine schützenswerte Vertrauensposition.</w:t>
      </w:r>
    </w:p>
    <w:p>
      <w:r>
        <w:rPr>
          <w:b/>
        </w:rPr>
        <w:t>E. 3.3</w:t>
      </w:r>
    </w:p>
    <w:p>
      <w:r>
        <w:t>Soweit sich der Beschwerdeführer am Rande auf verfassungsmässige Rechte (rechtliches Gehör und Willkürverbot) beruft, ist auf seine Beschwerde nicht näher einzugehen, weil diese für die entsprechenden Rügen keine taugliche Begründung enthält (vgl. Art. 106 Abs. 2 BGG ).</w:t>
      </w:r>
    </w:p>
    <w:p>
      <w:r>
        <w:rPr>
          <w:b/>
        </w:rPr>
        <w:t>E. 4</w:t>
      </w:r>
    </w:p>
    <w:p>
      <w:r>
        <w:t>Bei diesem Verfahrensausgang werden die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